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74C8" w:rsidRPr="007553AD" w:rsidRDefault="004074C8" w:rsidP="004074C8">
      <w:pPr>
        <w:spacing w:after="0" w:line="240" w:lineRule="auto"/>
        <w:rPr>
          <w:rFonts w:ascii="Helvetica" w:eastAsia="Times New Roman" w:hAnsi="Helvetica" w:cs="Helvetica"/>
          <w:sz w:val="24"/>
          <w:szCs w:val="24"/>
          <w:lang w:val="en-GB" w:eastAsia="fr-FR"/>
        </w:rPr>
      </w:pPr>
      <w:r w:rsidRPr="007553AD">
        <w:rPr>
          <w:rFonts w:ascii="Helvetica" w:eastAsia="Times New Roman" w:hAnsi="Helvetica" w:cs="Helvetica"/>
          <w:b/>
          <w:bCs/>
          <w:sz w:val="24"/>
          <w:szCs w:val="24"/>
          <w:lang w:val="en-GB" w:eastAsia="fr-FR"/>
        </w:rPr>
        <w:t>Introduction of a comprehensive phantom for the quality control of contrast enhanced spectral mammography</w:t>
      </w:r>
      <w:r w:rsidRPr="007553AD">
        <w:rPr>
          <w:rFonts w:ascii="Helvetica" w:eastAsia="Times New Roman" w:hAnsi="Helvetica" w:cs="Helvetica"/>
          <w:sz w:val="24"/>
          <w:szCs w:val="24"/>
          <w:lang w:val="en-GB" w:eastAsia="fr-FR"/>
        </w:rPr>
        <w:t xml:space="preserve"> </w:t>
      </w:r>
    </w:p>
    <w:tbl>
      <w:tblPr>
        <w:tblW w:w="0" w:type="auto"/>
        <w:tblCellSpacing w:w="7" w:type="dxa"/>
        <w:tblCellMar>
          <w:left w:w="0" w:type="dxa"/>
          <w:right w:w="0" w:type="dxa"/>
        </w:tblCellMar>
        <w:tblLook w:val="04A0" w:firstRow="1" w:lastRow="0" w:firstColumn="1" w:lastColumn="0" w:noHBand="0" w:noVBand="1"/>
      </w:tblPr>
      <w:tblGrid>
        <w:gridCol w:w="1135"/>
        <w:gridCol w:w="7228"/>
      </w:tblGrid>
      <w:tr w:rsidR="004074C8" w:rsidRPr="007553AD" w:rsidTr="004074C8">
        <w:trPr>
          <w:tblCellSpacing w:w="7" w:type="dxa"/>
        </w:trPr>
        <w:tc>
          <w:tcPr>
            <w:tcW w:w="0" w:type="auto"/>
            <w:vAlign w:val="center"/>
            <w:hideMark/>
          </w:tcPr>
          <w:p w:rsidR="004074C8" w:rsidRPr="007553AD" w:rsidRDefault="004074C8" w:rsidP="004074C8">
            <w:pPr>
              <w:spacing w:after="0" w:line="240" w:lineRule="auto"/>
              <w:rPr>
                <w:rFonts w:ascii="Times New Roman" w:eastAsia="Times New Roman" w:hAnsi="Times New Roman" w:cs="Times New Roman"/>
                <w:sz w:val="24"/>
                <w:szCs w:val="24"/>
                <w:lang w:val="en-GB" w:eastAsia="fr-FR"/>
              </w:rPr>
            </w:pPr>
            <w:proofErr w:type="spellStart"/>
            <w:r w:rsidRPr="007553AD">
              <w:rPr>
                <w:rFonts w:ascii="Times New Roman" w:eastAsia="Times New Roman" w:hAnsi="Times New Roman" w:cs="Times New Roman"/>
                <w:sz w:val="24"/>
                <w:szCs w:val="24"/>
                <w:lang w:val="en-GB" w:eastAsia="fr-FR"/>
              </w:rPr>
              <w:t>ControlNr</w:t>
            </w:r>
            <w:proofErr w:type="spellEnd"/>
            <w:r w:rsidRPr="007553AD">
              <w:rPr>
                <w:rFonts w:ascii="Times New Roman" w:eastAsia="Times New Roman" w:hAnsi="Times New Roman" w:cs="Times New Roman"/>
                <w:sz w:val="24"/>
                <w:szCs w:val="24"/>
                <w:lang w:val="en-GB" w:eastAsia="fr-FR"/>
              </w:rPr>
              <w:t>.:</w:t>
            </w:r>
          </w:p>
        </w:tc>
        <w:tc>
          <w:tcPr>
            <w:tcW w:w="0" w:type="auto"/>
            <w:vAlign w:val="center"/>
            <w:hideMark/>
          </w:tcPr>
          <w:p w:rsidR="004074C8" w:rsidRPr="007553AD" w:rsidRDefault="004074C8" w:rsidP="004074C8">
            <w:pPr>
              <w:spacing w:after="0" w:line="240" w:lineRule="auto"/>
              <w:rPr>
                <w:rFonts w:ascii="Times New Roman" w:eastAsia="Times New Roman" w:hAnsi="Times New Roman" w:cs="Times New Roman"/>
                <w:sz w:val="24"/>
                <w:szCs w:val="24"/>
                <w:lang w:val="en-GB" w:eastAsia="fr-FR"/>
              </w:rPr>
            </w:pPr>
            <w:r w:rsidRPr="007553AD">
              <w:rPr>
                <w:rFonts w:ascii="Times New Roman" w:eastAsia="Times New Roman" w:hAnsi="Times New Roman" w:cs="Times New Roman"/>
                <w:sz w:val="24"/>
                <w:szCs w:val="24"/>
                <w:lang w:val="en-GB" w:eastAsia="fr-FR"/>
              </w:rPr>
              <w:t>#7473</w:t>
            </w:r>
          </w:p>
        </w:tc>
      </w:tr>
      <w:tr w:rsidR="004074C8" w:rsidRPr="007553AD" w:rsidTr="004074C8">
        <w:trPr>
          <w:tblCellSpacing w:w="7" w:type="dxa"/>
        </w:trPr>
        <w:tc>
          <w:tcPr>
            <w:tcW w:w="0" w:type="auto"/>
            <w:vAlign w:val="center"/>
            <w:hideMark/>
          </w:tcPr>
          <w:p w:rsidR="004074C8" w:rsidRPr="007553AD" w:rsidRDefault="004074C8" w:rsidP="004074C8">
            <w:pPr>
              <w:spacing w:after="0" w:line="240" w:lineRule="auto"/>
              <w:rPr>
                <w:rFonts w:ascii="Times New Roman" w:eastAsia="Times New Roman" w:hAnsi="Times New Roman" w:cs="Times New Roman"/>
                <w:sz w:val="24"/>
                <w:szCs w:val="24"/>
                <w:lang w:val="en-GB" w:eastAsia="fr-FR"/>
              </w:rPr>
            </w:pPr>
            <w:r w:rsidRPr="007553AD">
              <w:rPr>
                <w:rFonts w:ascii="Times New Roman" w:eastAsia="Times New Roman" w:hAnsi="Times New Roman" w:cs="Times New Roman"/>
                <w:sz w:val="24"/>
                <w:szCs w:val="24"/>
                <w:lang w:val="en-GB" w:eastAsia="fr-FR"/>
              </w:rPr>
              <w:t>Keywords:</w:t>
            </w:r>
          </w:p>
        </w:tc>
        <w:tc>
          <w:tcPr>
            <w:tcW w:w="0" w:type="auto"/>
            <w:vAlign w:val="center"/>
            <w:hideMark/>
          </w:tcPr>
          <w:p w:rsidR="004074C8" w:rsidRPr="007553AD" w:rsidRDefault="004074C8" w:rsidP="004074C8">
            <w:pPr>
              <w:spacing w:after="0" w:line="240" w:lineRule="auto"/>
              <w:rPr>
                <w:rFonts w:ascii="Times New Roman" w:eastAsia="Times New Roman" w:hAnsi="Times New Roman" w:cs="Times New Roman"/>
                <w:sz w:val="24"/>
                <w:szCs w:val="24"/>
                <w:lang w:val="en-GB" w:eastAsia="fr-FR"/>
              </w:rPr>
            </w:pPr>
            <w:r w:rsidRPr="007553AD">
              <w:rPr>
                <w:rFonts w:ascii="Times New Roman" w:eastAsia="Times New Roman" w:hAnsi="Times New Roman" w:cs="Times New Roman"/>
                <w:sz w:val="24"/>
                <w:szCs w:val="24"/>
                <w:lang w:val="en-GB" w:eastAsia="fr-FR"/>
              </w:rPr>
              <w:t xml:space="preserve">Breast, Radiation physics, Contrast agents, Mammography, Digital radiography, Equipment, Contrast agent-intravenous, Quality assurance, </w:t>
            </w:r>
            <w:proofErr w:type="spellStart"/>
            <w:r w:rsidRPr="007553AD">
              <w:rPr>
                <w:rFonts w:ascii="Times New Roman" w:eastAsia="Times New Roman" w:hAnsi="Times New Roman" w:cs="Times New Roman"/>
                <w:sz w:val="24"/>
                <w:szCs w:val="24"/>
                <w:lang w:val="en-GB" w:eastAsia="fr-FR"/>
              </w:rPr>
              <w:t>Kv</w:t>
            </w:r>
            <w:proofErr w:type="spellEnd"/>
            <w:r w:rsidRPr="007553AD">
              <w:rPr>
                <w:rFonts w:ascii="Times New Roman" w:eastAsia="Times New Roman" w:hAnsi="Times New Roman" w:cs="Times New Roman"/>
                <w:sz w:val="24"/>
                <w:szCs w:val="24"/>
                <w:lang w:val="en-GB" w:eastAsia="fr-FR"/>
              </w:rPr>
              <w:t xml:space="preserve"> imaging</w:t>
            </w:r>
          </w:p>
        </w:tc>
      </w:tr>
      <w:tr w:rsidR="004074C8" w:rsidRPr="007553AD" w:rsidTr="004074C8">
        <w:trPr>
          <w:tblCellSpacing w:w="7" w:type="dxa"/>
        </w:trPr>
        <w:tc>
          <w:tcPr>
            <w:tcW w:w="0" w:type="auto"/>
            <w:vAlign w:val="center"/>
            <w:hideMark/>
          </w:tcPr>
          <w:p w:rsidR="004074C8" w:rsidRPr="007553AD" w:rsidRDefault="004074C8" w:rsidP="004074C8">
            <w:pPr>
              <w:spacing w:after="0" w:line="240" w:lineRule="auto"/>
              <w:rPr>
                <w:rFonts w:ascii="Times New Roman" w:eastAsia="Times New Roman" w:hAnsi="Times New Roman" w:cs="Times New Roman"/>
                <w:sz w:val="24"/>
                <w:szCs w:val="24"/>
                <w:lang w:val="en-GB" w:eastAsia="fr-FR"/>
              </w:rPr>
            </w:pPr>
            <w:r w:rsidRPr="007553AD">
              <w:rPr>
                <w:rFonts w:ascii="Times New Roman" w:eastAsia="Times New Roman" w:hAnsi="Times New Roman" w:cs="Times New Roman"/>
                <w:sz w:val="24"/>
                <w:szCs w:val="24"/>
                <w:lang w:val="en-GB" w:eastAsia="fr-FR"/>
              </w:rPr>
              <w:t xml:space="preserve">Status: </w:t>
            </w:r>
          </w:p>
        </w:tc>
        <w:tc>
          <w:tcPr>
            <w:tcW w:w="0" w:type="auto"/>
            <w:vAlign w:val="center"/>
            <w:hideMark/>
          </w:tcPr>
          <w:p w:rsidR="004074C8" w:rsidRPr="007553AD" w:rsidRDefault="004074C8" w:rsidP="004074C8">
            <w:pPr>
              <w:spacing w:after="0" w:line="240" w:lineRule="auto"/>
              <w:rPr>
                <w:rFonts w:ascii="Times New Roman" w:eastAsia="Times New Roman" w:hAnsi="Times New Roman" w:cs="Times New Roman"/>
                <w:sz w:val="24"/>
                <w:szCs w:val="24"/>
                <w:lang w:val="en-GB" w:eastAsia="fr-FR"/>
              </w:rPr>
            </w:pPr>
            <w:r w:rsidRPr="007553AD">
              <w:rPr>
                <w:rFonts w:ascii="Times New Roman" w:eastAsia="Times New Roman" w:hAnsi="Times New Roman" w:cs="Times New Roman"/>
                <w:sz w:val="24"/>
                <w:szCs w:val="24"/>
                <w:lang w:val="en-GB" w:eastAsia="fr-FR"/>
              </w:rPr>
              <w:t>IN WORK</w:t>
            </w:r>
          </w:p>
        </w:tc>
      </w:tr>
      <w:tr w:rsidR="004074C8" w:rsidRPr="007553AD" w:rsidTr="004074C8">
        <w:trPr>
          <w:tblCellSpacing w:w="7" w:type="dxa"/>
        </w:trPr>
        <w:tc>
          <w:tcPr>
            <w:tcW w:w="0" w:type="auto"/>
            <w:vAlign w:val="center"/>
            <w:hideMark/>
          </w:tcPr>
          <w:p w:rsidR="004074C8" w:rsidRPr="007553AD" w:rsidRDefault="004074C8" w:rsidP="004074C8">
            <w:pPr>
              <w:spacing w:after="0" w:line="240" w:lineRule="auto"/>
              <w:rPr>
                <w:rFonts w:ascii="Times New Roman" w:eastAsia="Times New Roman" w:hAnsi="Times New Roman" w:cs="Times New Roman"/>
                <w:sz w:val="24"/>
                <w:szCs w:val="24"/>
                <w:lang w:val="en-GB" w:eastAsia="fr-FR"/>
              </w:rPr>
            </w:pPr>
            <w:r w:rsidRPr="007553AD">
              <w:rPr>
                <w:rFonts w:ascii="Times New Roman" w:eastAsia="Times New Roman" w:hAnsi="Times New Roman" w:cs="Times New Roman"/>
                <w:sz w:val="24"/>
                <w:szCs w:val="24"/>
                <w:lang w:val="en-GB" w:eastAsia="fr-FR"/>
              </w:rPr>
              <w:t xml:space="preserve">Type: </w:t>
            </w:r>
          </w:p>
        </w:tc>
        <w:tc>
          <w:tcPr>
            <w:tcW w:w="0" w:type="auto"/>
            <w:vAlign w:val="center"/>
            <w:hideMark/>
          </w:tcPr>
          <w:p w:rsidR="004074C8" w:rsidRPr="007553AD" w:rsidRDefault="004074C8" w:rsidP="004074C8">
            <w:pPr>
              <w:spacing w:after="0" w:line="240" w:lineRule="auto"/>
              <w:rPr>
                <w:rFonts w:ascii="Times New Roman" w:eastAsia="Times New Roman" w:hAnsi="Times New Roman" w:cs="Times New Roman"/>
                <w:sz w:val="24"/>
                <w:szCs w:val="24"/>
                <w:lang w:val="en-GB" w:eastAsia="fr-FR"/>
              </w:rPr>
            </w:pPr>
            <w:r w:rsidRPr="007553AD">
              <w:rPr>
                <w:rFonts w:ascii="Times New Roman" w:eastAsia="Times New Roman" w:hAnsi="Times New Roman" w:cs="Times New Roman"/>
                <w:sz w:val="24"/>
                <w:szCs w:val="24"/>
                <w:lang w:val="en-GB" w:eastAsia="fr-FR"/>
              </w:rPr>
              <w:t>Scientific Exhibit</w:t>
            </w:r>
          </w:p>
        </w:tc>
      </w:tr>
      <w:tr w:rsidR="004074C8" w:rsidRPr="007553AD" w:rsidTr="004074C8">
        <w:trPr>
          <w:tblCellSpacing w:w="7" w:type="dxa"/>
        </w:trPr>
        <w:tc>
          <w:tcPr>
            <w:tcW w:w="0" w:type="auto"/>
            <w:vAlign w:val="center"/>
            <w:hideMark/>
          </w:tcPr>
          <w:p w:rsidR="004074C8" w:rsidRPr="007553AD" w:rsidRDefault="004074C8" w:rsidP="004074C8">
            <w:pPr>
              <w:spacing w:after="0" w:line="240" w:lineRule="auto"/>
              <w:rPr>
                <w:rFonts w:ascii="Times New Roman" w:eastAsia="Times New Roman" w:hAnsi="Times New Roman" w:cs="Times New Roman"/>
                <w:sz w:val="24"/>
                <w:szCs w:val="24"/>
                <w:lang w:val="en-GB" w:eastAsia="fr-FR"/>
              </w:rPr>
            </w:pPr>
            <w:r w:rsidRPr="007553AD">
              <w:rPr>
                <w:rFonts w:ascii="Times New Roman" w:eastAsia="Times New Roman" w:hAnsi="Times New Roman" w:cs="Times New Roman"/>
                <w:sz w:val="24"/>
                <w:szCs w:val="24"/>
                <w:lang w:val="en-GB" w:eastAsia="fr-FR"/>
              </w:rPr>
              <w:t xml:space="preserve">Authors: </w:t>
            </w:r>
          </w:p>
        </w:tc>
        <w:tc>
          <w:tcPr>
            <w:tcW w:w="0" w:type="auto"/>
            <w:vAlign w:val="center"/>
            <w:hideMark/>
          </w:tcPr>
          <w:p w:rsidR="004074C8" w:rsidRPr="0084044C" w:rsidRDefault="004074C8" w:rsidP="004074C8">
            <w:pPr>
              <w:spacing w:after="0" w:line="240" w:lineRule="auto"/>
              <w:rPr>
                <w:rFonts w:ascii="Times New Roman" w:eastAsia="Times New Roman" w:hAnsi="Times New Roman" w:cs="Times New Roman"/>
                <w:sz w:val="24"/>
                <w:szCs w:val="24"/>
                <w:lang w:eastAsia="fr-FR"/>
              </w:rPr>
            </w:pPr>
            <w:r w:rsidRPr="0084044C">
              <w:rPr>
                <w:rFonts w:ascii="Times New Roman" w:eastAsia="Times New Roman" w:hAnsi="Times New Roman" w:cs="Times New Roman"/>
                <w:sz w:val="24"/>
                <w:szCs w:val="24"/>
                <w:u w:val="single"/>
                <w:lang w:eastAsia="fr-FR"/>
              </w:rPr>
              <w:t>R. Klausz</w:t>
            </w:r>
            <w:r w:rsidRPr="0084044C">
              <w:rPr>
                <w:rFonts w:ascii="Times New Roman" w:eastAsia="Times New Roman" w:hAnsi="Times New Roman" w:cs="Times New Roman"/>
                <w:sz w:val="24"/>
                <w:szCs w:val="24"/>
                <w:lang w:eastAsia="fr-FR"/>
              </w:rPr>
              <w:t xml:space="preserve">, M. Rouxel, X. Mancardi, A.-K. Carton, F. </w:t>
            </w:r>
            <w:proofErr w:type="spellStart"/>
            <w:r w:rsidRPr="0084044C">
              <w:rPr>
                <w:rFonts w:ascii="Times New Roman" w:eastAsia="Times New Roman" w:hAnsi="Times New Roman" w:cs="Times New Roman"/>
                <w:sz w:val="24"/>
                <w:szCs w:val="24"/>
                <w:lang w:eastAsia="fr-FR"/>
              </w:rPr>
              <w:t>Jeunehomme</w:t>
            </w:r>
            <w:proofErr w:type="spellEnd"/>
            <w:r w:rsidRPr="0084044C">
              <w:rPr>
                <w:rFonts w:ascii="Times New Roman" w:eastAsia="Times New Roman" w:hAnsi="Times New Roman" w:cs="Times New Roman"/>
                <w:sz w:val="24"/>
                <w:szCs w:val="24"/>
                <w:lang w:eastAsia="fr-FR"/>
              </w:rPr>
              <w:t xml:space="preserve"> </w:t>
            </w:r>
            <w:proofErr w:type="gramStart"/>
            <w:r w:rsidRPr="0084044C">
              <w:rPr>
                <w:rFonts w:ascii="Times New Roman" w:eastAsia="Times New Roman" w:hAnsi="Times New Roman" w:cs="Times New Roman"/>
                <w:sz w:val="24"/>
                <w:szCs w:val="24"/>
                <w:lang w:eastAsia="fr-FR"/>
              </w:rPr>
              <w:t>Patoureaux;</w:t>
            </w:r>
            <w:proofErr w:type="gramEnd"/>
            <w:r w:rsidRPr="0084044C">
              <w:rPr>
                <w:rFonts w:ascii="Times New Roman" w:eastAsia="Times New Roman" w:hAnsi="Times New Roman" w:cs="Times New Roman"/>
                <w:sz w:val="24"/>
                <w:szCs w:val="24"/>
                <w:lang w:eastAsia="fr-FR"/>
              </w:rPr>
              <w:t xml:space="preserve"> BUC/FR</w:t>
            </w:r>
          </w:p>
        </w:tc>
      </w:tr>
      <w:tr w:rsidR="004074C8" w:rsidRPr="007553AD" w:rsidTr="004074C8">
        <w:trPr>
          <w:tblCellSpacing w:w="7" w:type="dxa"/>
        </w:trPr>
        <w:tc>
          <w:tcPr>
            <w:tcW w:w="0" w:type="auto"/>
            <w:vAlign w:val="center"/>
          </w:tcPr>
          <w:p w:rsidR="004074C8" w:rsidRPr="0084044C" w:rsidRDefault="004074C8" w:rsidP="004074C8">
            <w:pPr>
              <w:spacing w:after="0" w:line="240" w:lineRule="auto"/>
              <w:rPr>
                <w:rFonts w:ascii="Times New Roman" w:eastAsia="Times New Roman" w:hAnsi="Times New Roman" w:cs="Times New Roman"/>
                <w:sz w:val="24"/>
                <w:szCs w:val="24"/>
                <w:lang w:eastAsia="fr-FR"/>
              </w:rPr>
            </w:pPr>
          </w:p>
          <w:p w:rsidR="004074C8" w:rsidRPr="0084044C" w:rsidRDefault="004074C8" w:rsidP="004074C8">
            <w:pPr>
              <w:spacing w:after="0" w:line="240" w:lineRule="auto"/>
              <w:rPr>
                <w:rFonts w:ascii="Times New Roman" w:eastAsia="Times New Roman" w:hAnsi="Times New Roman" w:cs="Times New Roman"/>
                <w:sz w:val="24"/>
                <w:szCs w:val="24"/>
                <w:lang w:eastAsia="fr-FR"/>
              </w:rPr>
            </w:pPr>
          </w:p>
        </w:tc>
        <w:tc>
          <w:tcPr>
            <w:tcW w:w="0" w:type="auto"/>
            <w:vAlign w:val="center"/>
          </w:tcPr>
          <w:p w:rsidR="004074C8" w:rsidRPr="0084044C" w:rsidRDefault="004074C8" w:rsidP="004074C8">
            <w:pPr>
              <w:spacing w:after="0" w:line="240" w:lineRule="auto"/>
              <w:rPr>
                <w:rFonts w:ascii="Times New Roman" w:eastAsia="Times New Roman" w:hAnsi="Times New Roman" w:cs="Times New Roman"/>
                <w:sz w:val="24"/>
                <w:szCs w:val="24"/>
                <w:u w:val="single"/>
                <w:lang w:eastAsia="fr-FR"/>
              </w:rPr>
            </w:pPr>
          </w:p>
        </w:tc>
      </w:tr>
    </w:tbl>
    <w:p w:rsidR="004074C8" w:rsidRPr="007553AD" w:rsidRDefault="004074C8" w:rsidP="004074C8">
      <w:pPr>
        <w:spacing w:after="0" w:line="240" w:lineRule="auto"/>
        <w:rPr>
          <w:rFonts w:ascii="Times New Roman" w:eastAsia="Times New Roman" w:hAnsi="Times New Roman" w:cs="Times New Roman"/>
          <w:vanish/>
          <w:sz w:val="24"/>
          <w:szCs w:val="24"/>
          <w:lang w:val="en-GB" w:eastAsia="fr-FR"/>
        </w:rPr>
      </w:pPr>
    </w:p>
    <w:p w:rsidR="00CD21AA" w:rsidRPr="007553AD" w:rsidRDefault="00CD21AA" w:rsidP="004074C8">
      <w:pPr>
        <w:spacing w:after="0" w:line="240" w:lineRule="auto"/>
        <w:rPr>
          <w:rFonts w:ascii="Verdana" w:eastAsia="Times New Roman" w:hAnsi="Verdana" w:cs="Times New Roman"/>
          <w:b/>
          <w:bCs/>
          <w:sz w:val="28"/>
          <w:szCs w:val="29"/>
          <w:lang w:val="en-GB" w:eastAsia="fr-FR"/>
        </w:rPr>
      </w:pPr>
      <w:r w:rsidRPr="007553AD">
        <w:rPr>
          <w:rFonts w:ascii="Verdana" w:eastAsia="Times New Roman" w:hAnsi="Verdana" w:cs="Times New Roman"/>
          <w:b/>
          <w:bCs/>
          <w:sz w:val="28"/>
          <w:szCs w:val="29"/>
          <w:lang w:val="en-GB" w:eastAsia="fr-FR"/>
        </w:rPr>
        <w:t xml:space="preserve">Aims and objectives </w:t>
      </w:r>
    </w:p>
    <w:p w:rsidR="00CD21AA" w:rsidRDefault="00B76221" w:rsidP="00B76221">
      <w:pPr>
        <w:spacing w:after="0" w:line="240" w:lineRule="auto"/>
        <w:jc w:val="both"/>
        <w:rPr>
          <w:rFonts w:ascii="Verdana" w:hAnsi="Verdana"/>
          <w:color w:val="808080" w:themeColor="background1" w:themeShade="80"/>
          <w:sz w:val="20"/>
          <w:lang w:val="en-US"/>
        </w:rPr>
      </w:pPr>
      <w:r w:rsidRPr="00B76221">
        <w:rPr>
          <w:rFonts w:ascii="Verdana" w:hAnsi="Verdana"/>
          <w:sz w:val="20"/>
          <w:lang w:val="en-US"/>
        </w:rPr>
        <w:t xml:space="preserve">Contrast enhanced digital mammography (CEDM), is gaining more and more adoption considering the benefits it provides in detecting and differentiating breast lesions [1,2]. Currently four commercial products featuring CEDM are proposed, all based on energy subtraction, or spectral mammography (CESM). However, not all mammography specialists are comfortable with injecting patients, and they must be sure that the equipment will perform as expected, i.e. demonstrate reliably the presence or </w:t>
      </w:r>
      <w:r w:rsidRPr="00157BEA">
        <w:rPr>
          <w:rFonts w:ascii="Verdana" w:hAnsi="Verdana"/>
          <w:color w:val="808080" w:themeColor="background1" w:themeShade="80"/>
          <w:sz w:val="20"/>
          <w:lang w:val="en-US"/>
        </w:rPr>
        <w:t xml:space="preserve">absence of iodine in tissues. Both are equally important, showing that a suspicious area seen in the regular mammogram is probably non-cancerous, or revealing possibly cancerous lesions by a contrast uptake. Even if regular maintenance and quality control ensure a safe operation of the equipment, it may not give a full certitude that the next examination will satisfy all performance criteria. For this reason, an improved phantom has been designed, as close as possible to a real breast, and containing iodinated and non-iodinated contrast objects. </w:t>
      </w:r>
      <w:r w:rsidR="004F25E9" w:rsidRPr="004F25E9">
        <w:rPr>
          <w:rFonts w:ascii="Verdana" w:hAnsi="Verdana"/>
          <w:color w:val="808080" w:themeColor="background1" w:themeShade="80"/>
          <w:sz w:val="20"/>
          <w:lang w:val="en-US"/>
        </w:rPr>
        <w:t>A quick imaging sequence of this object will demonstrate nominal operation and give users full confidence before starting the examination</w:t>
      </w:r>
      <w:r w:rsidR="004F25E9">
        <w:rPr>
          <w:rFonts w:ascii="Verdana" w:hAnsi="Verdana"/>
          <w:color w:val="808080" w:themeColor="background1" w:themeShade="80"/>
          <w:sz w:val="20"/>
          <w:lang w:val="en-US"/>
        </w:rPr>
        <w:t>.</w:t>
      </w:r>
      <w:r w:rsidRPr="00157BEA">
        <w:rPr>
          <w:rFonts w:ascii="Verdana" w:hAnsi="Verdana"/>
          <w:color w:val="808080" w:themeColor="background1" w:themeShade="80"/>
          <w:sz w:val="20"/>
          <w:lang w:val="en-US"/>
        </w:rPr>
        <w:t xml:space="preserve"> The specification of this phantom will be described here, as well as the test results of a prototype made according to it.</w:t>
      </w:r>
      <w:bookmarkStart w:id="0" w:name="_GoBack"/>
      <w:bookmarkEnd w:id="0"/>
    </w:p>
    <w:p w:rsidR="00634156" w:rsidRPr="00B76221" w:rsidRDefault="00634156" w:rsidP="00B76221">
      <w:pPr>
        <w:spacing w:after="0" w:line="240" w:lineRule="auto"/>
        <w:jc w:val="both"/>
        <w:rPr>
          <w:rFonts w:ascii="Verdana" w:eastAsia="Times New Roman" w:hAnsi="Verdana" w:cs="Times New Roman"/>
          <w:szCs w:val="24"/>
          <w:lang w:val="en-US" w:eastAsia="fr-FR"/>
        </w:rPr>
      </w:pPr>
    </w:p>
    <w:p w:rsidR="00634156" w:rsidRPr="00634156" w:rsidRDefault="00634156" w:rsidP="00634156">
      <w:pPr>
        <w:spacing w:after="0" w:line="240" w:lineRule="auto"/>
        <w:rPr>
          <w:rFonts w:ascii="Verdana" w:eastAsia="Times New Roman" w:hAnsi="Verdana" w:cs="Times New Roman"/>
          <w:b/>
          <w:bCs/>
          <w:sz w:val="28"/>
          <w:szCs w:val="29"/>
          <w:lang w:val="en-GB" w:eastAsia="fr-FR"/>
        </w:rPr>
      </w:pPr>
      <w:r w:rsidRPr="00634156">
        <w:rPr>
          <w:rFonts w:ascii="Verdana" w:eastAsia="Times New Roman" w:hAnsi="Verdana" w:cs="Times New Roman"/>
          <w:b/>
          <w:bCs/>
          <w:sz w:val="28"/>
          <w:szCs w:val="29"/>
          <w:lang w:val="en-GB" w:eastAsia="fr-FR"/>
        </w:rPr>
        <w:t>Section: Methods and materials</w:t>
      </w:r>
    </w:p>
    <w:p w:rsidR="00634156" w:rsidRPr="00F34E54" w:rsidRDefault="00634156" w:rsidP="00634156">
      <w:pPr>
        <w:spacing w:before="100" w:beforeAutospacing="1" w:after="100" w:afterAutospacing="1" w:line="240" w:lineRule="auto"/>
        <w:jc w:val="both"/>
        <w:rPr>
          <w:rFonts w:ascii="Verdana" w:hAnsi="Verdana"/>
          <w:lang w:val="en-US"/>
        </w:rPr>
      </w:pPr>
      <w:r w:rsidRPr="00634156">
        <w:rPr>
          <w:rFonts w:ascii="Verdana" w:hAnsi="Verdana"/>
          <w:lang w:val="en-US"/>
        </w:rPr>
        <w:t xml:space="preserve">To ensure a good cancellation of the image of non-iodinated breast tissues, the composition of the background material of the phantom must be as close as possible to the actual breast tissues. It must also represent as well as possible the range of breast densities from adipose to glandular. Consequently breast-equivalent materials have been chosen as the only constituents of the different elements of this phantom.  </w:t>
      </w:r>
    </w:p>
    <w:p w:rsidR="00634156" w:rsidRPr="00634156" w:rsidRDefault="00634156" w:rsidP="00634156">
      <w:pPr>
        <w:spacing w:before="100" w:beforeAutospacing="1" w:after="100" w:afterAutospacing="1" w:line="240" w:lineRule="auto"/>
        <w:rPr>
          <w:rFonts w:ascii="Verdana" w:eastAsia="Times New Roman" w:hAnsi="Verdana" w:cs="Times New Roman"/>
          <w:b/>
          <w:bCs/>
          <w:sz w:val="24"/>
          <w:szCs w:val="29"/>
          <w:lang w:val="en-GB" w:eastAsia="fr-FR"/>
        </w:rPr>
      </w:pPr>
      <w:r w:rsidRPr="00634156">
        <w:rPr>
          <w:rFonts w:ascii="Verdana" w:eastAsia="Times New Roman" w:hAnsi="Verdana" w:cs="Times New Roman"/>
          <w:b/>
          <w:bCs/>
          <w:sz w:val="24"/>
          <w:szCs w:val="29"/>
          <w:lang w:val="en-GB" w:eastAsia="fr-FR"/>
        </w:rPr>
        <w:t>Core Plate description:</w:t>
      </w:r>
    </w:p>
    <w:p w:rsidR="00634156" w:rsidRPr="00F34E54" w:rsidRDefault="00634156" w:rsidP="00F34E54">
      <w:pPr>
        <w:spacing w:before="100" w:beforeAutospacing="1" w:after="100" w:afterAutospacing="1" w:line="240" w:lineRule="auto"/>
        <w:jc w:val="both"/>
        <w:rPr>
          <w:rFonts w:ascii="Times New Roman" w:eastAsia="Times New Roman" w:hAnsi="Times New Roman" w:cs="Times New Roman"/>
          <w:color w:val="808080" w:themeColor="background1" w:themeShade="80"/>
          <w:sz w:val="28"/>
          <w:szCs w:val="24"/>
          <w:lang w:val="en-US" w:eastAsia="fr-FR"/>
        </w:rPr>
      </w:pPr>
      <w:r w:rsidRPr="00634156">
        <w:rPr>
          <w:rFonts w:ascii="Verdana" w:hAnsi="Verdana"/>
          <w:lang w:val="en-US"/>
        </w:rPr>
        <w:t xml:space="preserve">In previously described solutions, the plate </w:t>
      </w:r>
      <w:r w:rsidRPr="00634156">
        <w:rPr>
          <w:rFonts w:ascii="Verdana" w:hAnsi="Verdana"/>
          <w:color w:val="808080" w:themeColor="background1" w:themeShade="80"/>
          <w:lang w:val="en-US"/>
        </w:rPr>
        <w:t xml:space="preserve">containing the iodinated inserts was made of PMMA [4,5]. Here it is constituted of material equivalent to 50% </w:t>
      </w:r>
      <w:r w:rsidRPr="00F34E54">
        <w:rPr>
          <w:rFonts w:ascii="Verdana" w:hAnsi="Verdana"/>
          <w:color w:val="808080" w:themeColor="background1" w:themeShade="80"/>
          <w:lang w:val="en-US"/>
        </w:rPr>
        <w:t>adipose 50% glandular tissues, </w:t>
      </w:r>
      <w:r w:rsidRPr="00634156">
        <w:rPr>
          <w:rFonts w:ascii="Verdana" w:hAnsi="Verdana"/>
          <w:color w:val="808080" w:themeColor="background1" w:themeShade="80"/>
          <w:lang w:val="en-US"/>
        </w:rPr>
        <w:t xml:space="preserve">such as BR5050 (CIRS Inc, Norfolk, VA, USA). Two sets of four cylinders, 10 mm in diameter, made of the same base material to which an iodinated component is added, are plugged into this </w:t>
      </w:r>
      <w:r w:rsidRPr="00634156">
        <w:rPr>
          <w:rFonts w:ascii="Verdana" w:hAnsi="Verdana"/>
          <w:color w:val="808080" w:themeColor="background1" w:themeShade="80"/>
          <w:lang w:val="en-GB"/>
        </w:rPr>
        <w:t>plate with their centres positioned along two 25 mm symmetrical squares. The iodine concentrations have been chosen to cover the clinical range of areal densities of 0,25, 0,5, 1 and 2 mg/cm</w:t>
      </w:r>
      <w:r w:rsidRPr="00F34E54">
        <w:rPr>
          <w:rFonts w:ascii="Verdana" w:hAnsi="Verdana"/>
          <w:color w:val="808080" w:themeColor="background1" w:themeShade="80"/>
          <w:lang w:val="en-GB"/>
        </w:rPr>
        <w:t>²</w:t>
      </w:r>
      <w:r w:rsidRPr="00634156">
        <w:rPr>
          <w:rFonts w:ascii="Verdana" w:hAnsi="Verdana"/>
          <w:color w:val="808080" w:themeColor="background1" w:themeShade="80"/>
          <w:lang w:val="en-GB"/>
        </w:rPr>
        <w:t xml:space="preserve">. A fifth insert made of 100% glandular tissue equivalent material (BR100) is positioned in the centre of each square to mimic a glandular lesion. The plate and the inserts </w:t>
      </w:r>
      <w:r w:rsidRPr="00634156">
        <w:rPr>
          <w:rFonts w:ascii="Verdana" w:hAnsi="Verdana"/>
          <w:color w:val="808080" w:themeColor="background1" w:themeShade="80"/>
          <w:lang w:val="en-GB"/>
        </w:rPr>
        <w:lastRenderedPageBreak/>
        <w:t xml:space="preserve">are all </w:t>
      </w:r>
      <w:proofErr w:type="gramStart"/>
      <w:r w:rsidRPr="00634156">
        <w:rPr>
          <w:rFonts w:ascii="Verdana" w:hAnsi="Verdana"/>
          <w:color w:val="808080" w:themeColor="background1" w:themeShade="80"/>
          <w:lang w:val="en-GB"/>
        </w:rPr>
        <w:t>10 mm</w:t>
      </w:r>
      <w:proofErr w:type="gramEnd"/>
      <w:r w:rsidRPr="00634156">
        <w:rPr>
          <w:rFonts w:ascii="Verdana" w:hAnsi="Verdana"/>
          <w:color w:val="808080" w:themeColor="background1" w:themeShade="80"/>
          <w:lang w:val="en-GB"/>
        </w:rPr>
        <w:t xml:space="preserve"> high. The overall lay-out of the plate has been</w:t>
      </w:r>
      <w:r w:rsidRPr="00634156">
        <w:rPr>
          <w:rFonts w:ascii="Times New Roman" w:eastAsia="Times New Roman" w:hAnsi="Times New Roman" w:cs="Times New Roman"/>
          <w:color w:val="808080" w:themeColor="background1" w:themeShade="80"/>
          <w:sz w:val="28"/>
          <w:szCs w:val="24"/>
          <w:lang w:val="en-US" w:eastAsia="fr-FR"/>
        </w:rPr>
        <w:t xml:space="preserve"> </w:t>
      </w:r>
      <w:r w:rsidRPr="00634156">
        <w:rPr>
          <w:rFonts w:ascii="Verdana" w:hAnsi="Verdana"/>
          <w:color w:val="808080" w:themeColor="background1" w:themeShade="80"/>
          <w:lang w:val="en-GB"/>
        </w:rPr>
        <w:t>arranged to match the shape and mounting of the existing CIRS Digital Breast Tomosynthesis QC Phantom (figure 1).</w:t>
      </w:r>
    </w:p>
    <w:p w:rsidR="00CD21AA" w:rsidRPr="00634156" w:rsidRDefault="00CD21AA" w:rsidP="00197002">
      <w:pPr>
        <w:spacing w:after="0" w:line="240" w:lineRule="auto"/>
        <w:jc w:val="center"/>
        <w:rPr>
          <w:rFonts w:ascii="Verdana" w:eastAsia="Times New Roman" w:hAnsi="Verdana" w:cs="Times New Roman"/>
          <w:sz w:val="24"/>
          <w:szCs w:val="24"/>
          <w:lang w:val="en-US" w:eastAsia="fr-FR"/>
        </w:rPr>
      </w:pPr>
    </w:p>
    <w:p w:rsidR="004D6260" w:rsidRPr="007553AD" w:rsidRDefault="004D6260" w:rsidP="00197002">
      <w:pPr>
        <w:spacing w:after="0" w:line="240" w:lineRule="auto"/>
        <w:jc w:val="center"/>
        <w:rPr>
          <w:rFonts w:ascii="Verdana" w:eastAsia="Times New Roman" w:hAnsi="Verdana" w:cs="Times New Roman"/>
          <w:sz w:val="24"/>
          <w:szCs w:val="24"/>
          <w:lang w:val="en-GB" w:eastAsia="fr-FR"/>
        </w:rPr>
      </w:pPr>
      <w:r w:rsidRPr="007553AD">
        <w:rPr>
          <w:noProof/>
          <w:lang w:val="en-GB"/>
        </w:rPr>
        <w:drawing>
          <wp:inline distT="0" distB="0" distL="0" distR="0" wp14:anchorId="613C2F8A" wp14:editId="3E97AC75">
            <wp:extent cx="4049186" cy="3217582"/>
            <wp:effectExtent l="0" t="0" r="889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9240" r="12106"/>
                    <a:stretch/>
                  </pic:blipFill>
                  <pic:spPr bwMode="auto">
                    <a:xfrm>
                      <a:off x="0" y="0"/>
                      <a:ext cx="4055977" cy="3222978"/>
                    </a:xfrm>
                    <a:prstGeom prst="rect">
                      <a:avLst/>
                    </a:prstGeom>
                    <a:ln>
                      <a:noFill/>
                    </a:ln>
                    <a:extLst>
                      <a:ext uri="{53640926-AAD7-44D8-BBD7-CCE9431645EC}">
                        <a14:shadowObscured xmlns:a14="http://schemas.microsoft.com/office/drawing/2010/main"/>
                      </a:ext>
                    </a:extLst>
                  </pic:spPr>
                </pic:pic>
              </a:graphicData>
            </a:graphic>
          </wp:inline>
        </w:drawing>
      </w:r>
    </w:p>
    <w:p w:rsidR="00634156" w:rsidRPr="00F34E54" w:rsidRDefault="00634156" w:rsidP="00F34E54">
      <w:pPr>
        <w:pStyle w:val="NormalWeb"/>
        <w:jc w:val="both"/>
        <w:rPr>
          <w:rFonts w:ascii="Verdana" w:eastAsiaTheme="minorHAnsi" w:hAnsi="Verdana" w:cstheme="minorBidi"/>
          <w:color w:val="808080" w:themeColor="background1" w:themeShade="80"/>
          <w:sz w:val="22"/>
          <w:szCs w:val="22"/>
          <w:lang w:val="en-GB" w:eastAsia="en-US"/>
        </w:rPr>
      </w:pPr>
      <w:r w:rsidRPr="00F34E54">
        <w:rPr>
          <w:rFonts w:ascii="Verdana" w:eastAsiaTheme="minorHAnsi" w:hAnsi="Verdana" w:cstheme="minorBidi"/>
          <w:color w:val="808080" w:themeColor="background1" w:themeShade="80"/>
          <w:sz w:val="22"/>
          <w:szCs w:val="22"/>
          <w:lang w:val="en-GB" w:eastAsia="en-US"/>
        </w:rPr>
        <w:t>The 100% glandular inserts should be much more visible than 2 mg/cm² iodine in regular mammograms, and disappear after recombination. The two sets of iodinated inserts are disposed symmetrically to be strictly identical from all points of view, including heel-effect, scatter, or various non-uniformities; they will be superimposed with different background densities to check possible dependence of iodine contrast.</w:t>
      </w:r>
    </w:p>
    <w:p w:rsidR="00CD21AA" w:rsidRPr="007553AD" w:rsidRDefault="00CD21AA" w:rsidP="004C3072">
      <w:pPr>
        <w:pStyle w:val="NormalWeb"/>
        <w:rPr>
          <w:rFonts w:ascii="Verdana" w:hAnsi="Verdana"/>
          <w:color w:val="000000"/>
          <w:szCs w:val="17"/>
          <w:lang w:val="en-GB"/>
        </w:rPr>
      </w:pPr>
      <w:r w:rsidRPr="007553AD">
        <w:rPr>
          <w:rFonts w:ascii="Verdana" w:hAnsi="Verdana"/>
          <w:b/>
          <w:bCs/>
          <w:color w:val="000000"/>
          <w:szCs w:val="17"/>
          <w:lang w:val="en-GB"/>
        </w:rPr>
        <w:t>Background plates:</w:t>
      </w:r>
    </w:p>
    <w:p w:rsidR="00137DED" w:rsidRPr="00F34E54" w:rsidRDefault="00634156" w:rsidP="00F34E54">
      <w:pPr>
        <w:pStyle w:val="NormalWeb"/>
        <w:spacing w:after="0" w:afterAutospacing="0"/>
        <w:jc w:val="both"/>
        <w:rPr>
          <w:rFonts w:ascii="Verdana" w:hAnsi="Verdana"/>
          <w:color w:val="808080" w:themeColor="background1" w:themeShade="80"/>
          <w:sz w:val="22"/>
          <w:szCs w:val="17"/>
          <w:lang w:val="en-GB"/>
        </w:rPr>
      </w:pPr>
      <w:r w:rsidRPr="00F34E54">
        <w:rPr>
          <w:rFonts w:ascii="Verdana" w:hAnsi="Verdana"/>
          <w:color w:val="808080" w:themeColor="background1" w:themeShade="80"/>
          <w:sz w:val="22"/>
          <w:szCs w:val="17"/>
          <w:lang w:val="en-GB"/>
        </w:rPr>
        <w:t xml:space="preserve">The total phantom (core plate plus background) should be representative of an average breast. </w:t>
      </w:r>
    </w:p>
    <w:p w:rsidR="00F34E54" w:rsidRPr="00F34E54" w:rsidRDefault="00634156" w:rsidP="00F34E54">
      <w:pPr>
        <w:pStyle w:val="NormalWeb"/>
        <w:spacing w:before="0" w:beforeAutospacing="0"/>
        <w:jc w:val="both"/>
        <w:rPr>
          <w:rFonts w:ascii="Verdana" w:hAnsi="Verdana"/>
          <w:color w:val="808080" w:themeColor="background1" w:themeShade="80"/>
          <w:sz w:val="22"/>
          <w:szCs w:val="17"/>
          <w:lang w:val="en-GB"/>
        </w:rPr>
      </w:pPr>
      <w:r w:rsidRPr="00F34E54">
        <w:rPr>
          <w:rFonts w:ascii="Verdana" w:hAnsi="Verdana"/>
          <w:color w:val="808080" w:themeColor="background1" w:themeShade="80"/>
          <w:sz w:val="22"/>
          <w:szCs w:val="17"/>
          <w:lang w:val="en-GB"/>
        </w:rPr>
        <w:t>A total thickness of 55 mm is retained as corresponding to the observed average compressed breast thickness in western population [6]. The top and bottom plates are 10 mm thick, with rounded edges. They are made of adipose tissue equivalent material (BR0) to mimic subcutaneous fat. The remaining thickness (55 – 2x10 - 10) = 25 mm is made in two halves respectively equivalent to adipose (BR0 material) and glandular tissue (BR100 material) to test the depend</w:t>
      </w:r>
      <w:r w:rsidR="00137DED" w:rsidRPr="00F34E54">
        <w:rPr>
          <w:rFonts w:ascii="Verdana" w:hAnsi="Verdana"/>
          <w:color w:val="808080" w:themeColor="background1" w:themeShade="80"/>
          <w:sz w:val="22"/>
          <w:szCs w:val="17"/>
          <w:lang w:val="en-GB"/>
        </w:rPr>
        <w:t>e</w:t>
      </w:r>
      <w:r w:rsidRPr="00F34E54">
        <w:rPr>
          <w:rFonts w:ascii="Verdana" w:hAnsi="Verdana"/>
          <w:color w:val="808080" w:themeColor="background1" w:themeShade="80"/>
          <w:sz w:val="22"/>
          <w:szCs w:val="17"/>
          <w:lang w:val="en-GB"/>
        </w:rPr>
        <w:t>nce of iodine separation from background over a large range of densities. In the sense of Dance (2000) [7] the average breast compositions of the two halves of the total phantom are respectively 11 % and 67 %, to be compared with the reference value of 25% and 40% for ages ranges 40-49 and 50-64 respectively (interpolated from [7]). This demonstrates a reasonable balance, and takes provision for significant composition non-uniformities inside a breast (figure 2).</w:t>
      </w:r>
    </w:p>
    <w:p w:rsidR="00CD21AA" w:rsidRPr="00634156" w:rsidRDefault="00CD21AA" w:rsidP="00F34E54">
      <w:pPr>
        <w:pStyle w:val="NormalWeb"/>
        <w:spacing w:before="0" w:beforeAutospacing="0"/>
        <w:jc w:val="center"/>
        <w:rPr>
          <w:rFonts w:ascii="Verdana" w:hAnsi="Verdana"/>
          <w:color w:val="000000"/>
          <w:sz w:val="22"/>
          <w:szCs w:val="17"/>
          <w:lang w:val="en-GB"/>
        </w:rPr>
      </w:pPr>
      <w:r w:rsidRPr="007553AD">
        <w:rPr>
          <w:rFonts w:ascii="Verdana" w:hAnsi="Verdana"/>
          <w:noProof/>
          <w:lang w:val="en-GB"/>
        </w:rPr>
        <w:lastRenderedPageBreak/>
        <w:drawing>
          <wp:inline distT="0" distB="0" distL="0" distR="0" wp14:anchorId="0420EFDB" wp14:editId="7E9E6106">
            <wp:extent cx="3657799" cy="235972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5443"/>
                    <a:stretch/>
                  </pic:blipFill>
                  <pic:spPr bwMode="auto">
                    <a:xfrm>
                      <a:off x="0" y="0"/>
                      <a:ext cx="3720425" cy="2400129"/>
                    </a:xfrm>
                    <a:prstGeom prst="rect">
                      <a:avLst/>
                    </a:prstGeom>
                    <a:ln>
                      <a:noFill/>
                    </a:ln>
                    <a:extLst>
                      <a:ext uri="{53640926-AAD7-44D8-BBD7-CCE9431645EC}">
                        <a14:shadowObscured xmlns:a14="http://schemas.microsoft.com/office/drawing/2010/main"/>
                      </a:ext>
                    </a:extLst>
                  </pic:spPr>
                </pic:pic>
              </a:graphicData>
            </a:graphic>
          </wp:inline>
        </w:drawing>
      </w:r>
    </w:p>
    <w:p w:rsidR="00CD21AA" w:rsidRPr="007553AD" w:rsidRDefault="00CD21AA" w:rsidP="004C3072">
      <w:pPr>
        <w:pStyle w:val="NormalWeb"/>
        <w:jc w:val="center"/>
        <w:rPr>
          <w:rFonts w:ascii="Verdana" w:hAnsi="Verdana"/>
          <w:color w:val="000000"/>
          <w:sz w:val="17"/>
          <w:szCs w:val="17"/>
          <w:lang w:val="en-GB"/>
        </w:rPr>
      </w:pPr>
      <w:r w:rsidRPr="007553AD">
        <w:rPr>
          <w:rFonts w:ascii="Verdana" w:hAnsi="Verdana"/>
          <w:b/>
          <w:bCs/>
          <w:sz w:val="20"/>
          <w:szCs w:val="15"/>
          <w:lang w:val="en-GB"/>
        </w:rPr>
        <w:t xml:space="preserve">Fig. </w:t>
      </w:r>
      <w:proofErr w:type="gramStart"/>
      <w:r w:rsidRPr="007553AD">
        <w:rPr>
          <w:rFonts w:ascii="Verdana" w:hAnsi="Verdana"/>
          <w:b/>
          <w:bCs/>
          <w:sz w:val="20"/>
          <w:szCs w:val="15"/>
          <w:lang w:val="en-GB"/>
        </w:rPr>
        <w:t>2 :</w:t>
      </w:r>
      <w:proofErr w:type="gramEnd"/>
      <w:r w:rsidRPr="007553AD">
        <w:rPr>
          <w:rFonts w:ascii="Verdana" w:hAnsi="Verdana"/>
          <w:sz w:val="20"/>
          <w:szCs w:val="15"/>
          <w:lang w:val="en-GB"/>
        </w:rPr>
        <w:t xml:space="preserve"> Front view of the compete phantom, core plate and background plates</w:t>
      </w:r>
    </w:p>
    <w:p w:rsidR="00CD21AA" w:rsidRPr="00F34E54" w:rsidRDefault="00137DED" w:rsidP="00F34E54">
      <w:pPr>
        <w:pStyle w:val="NormalWeb"/>
        <w:jc w:val="both"/>
        <w:rPr>
          <w:rFonts w:ascii="Verdana" w:hAnsi="Verdana"/>
          <w:color w:val="808080" w:themeColor="background1" w:themeShade="80"/>
          <w:sz w:val="17"/>
          <w:szCs w:val="17"/>
          <w:lang w:val="en-GB"/>
        </w:rPr>
      </w:pPr>
      <w:r w:rsidRPr="00F34E54">
        <w:rPr>
          <w:rFonts w:ascii="Verdana" w:hAnsi="Verdana"/>
          <w:color w:val="808080" w:themeColor="background1" w:themeShade="80"/>
          <w:sz w:val="22"/>
          <w:szCs w:val="17"/>
          <w:lang w:val="en-GB"/>
        </w:rPr>
        <w:t xml:space="preserve">In this </w:t>
      </w:r>
      <w:proofErr w:type="gramStart"/>
      <w:r w:rsidRPr="00F34E54">
        <w:rPr>
          <w:rFonts w:ascii="Verdana" w:hAnsi="Verdana"/>
          <w:color w:val="808080" w:themeColor="background1" w:themeShade="80"/>
          <w:sz w:val="22"/>
          <w:szCs w:val="17"/>
          <w:lang w:val="en-GB"/>
        </w:rPr>
        <w:t>particular instantiation</w:t>
      </w:r>
      <w:proofErr w:type="gramEnd"/>
      <w:r w:rsidRPr="00F34E54">
        <w:rPr>
          <w:rFonts w:ascii="Verdana" w:hAnsi="Verdana"/>
          <w:color w:val="808080" w:themeColor="background1" w:themeShade="80"/>
          <w:sz w:val="22"/>
          <w:szCs w:val="17"/>
          <w:lang w:val="en-GB"/>
        </w:rPr>
        <w:t xml:space="preserve"> of the phantom the different plates are maintained together through the “Positioning Holder with Magnetic Fixation” of the DBT phantom. Obviously different concepts could be used the same way.</w:t>
      </w:r>
      <w:r w:rsidR="00CD21AA" w:rsidRPr="00F34E54">
        <w:rPr>
          <w:rFonts w:ascii="Verdana" w:hAnsi="Verdana"/>
          <w:color w:val="808080" w:themeColor="background1" w:themeShade="80"/>
          <w:sz w:val="17"/>
          <w:szCs w:val="17"/>
          <w:lang w:val="en-GB"/>
        </w:rPr>
        <w:t> </w:t>
      </w:r>
    </w:p>
    <w:p w:rsidR="00CD21AA" w:rsidRPr="007553AD" w:rsidRDefault="00CD21AA" w:rsidP="004C3072">
      <w:pPr>
        <w:pStyle w:val="NormalWeb"/>
        <w:rPr>
          <w:rFonts w:ascii="Verdana" w:hAnsi="Verdana"/>
          <w:color w:val="000000"/>
          <w:szCs w:val="17"/>
          <w:lang w:val="en-GB"/>
        </w:rPr>
      </w:pPr>
      <w:r w:rsidRPr="007553AD">
        <w:rPr>
          <w:rStyle w:val="Strong"/>
          <w:rFonts w:ascii="Verdana" w:hAnsi="Verdana"/>
          <w:color w:val="000000"/>
          <w:szCs w:val="17"/>
          <w:lang w:val="en-GB"/>
        </w:rPr>
        <w:t>Phantom im</w:t>
      </w:r>
      <w:r w:rsidR="00C15828" w:rsidRPr="007553AD">
        <w:rPr>
          <w:rStyle w:val="Strong"/>
          <w:rFonts w:ascii="Verdana" w:hAnsi="Verdana"/>
          <w:color w:val="000000"/>
          <w:szCs w:val="17"/>
          <w:lang w:val="en-GB"/>
        </w:rPr>
        <w:t>a</w:t>
      </w:r>
      <w:r w:rsidRPr="007553AD">
        <w:rPr>
          <w:rStyle w:val="Strong"/>
          <w:rFonts w:ascii="Verdana" w:hAnsi="Verdana"/>
          <w:color w:val="000000"/>
          <w:szCs w:val="17"/>
          <w:lang w:val="en-GB"/>
        </w:rPr>
        <w:t>ging</w:t>
      </w:r>
      <w:r w:rsidRPr="007553AD">
        <w:rPr>
          <w:rFonts w:ascii="Verdana" w:hAnsi="Verdana"/>
          <w:color w:val="000000"/>
          <w:szCs w:val="17"/>
          <w:lang w:val="en-GB"/>
        </w:rPr>
        <w:t xml:space="preserve"> </w:t>
      </w:r>
    </w:p>
    <w:p w:rsidR="00137DED" w:rsidRPr="00F34E54" w:rsidRDefault="00137DED" w:rsidP="00F34E54">
      <w:pPr>
        <w:pStyle w:val="NormalWeb"/>
        <w:jc w:val="both"/>
        <w:rPr>
          <w:rFonts w:ascii="Verdana" w:hAnsi="Verdana"/>
          <w:color w:val="808080" w:themeColor="background1" w:themeShade="80"/>
          <w:sz w:val="22"/>
          <w:szCs w:val="22"/>
          <w:lang w:val="en-GB"/>
        </w:rPr>
      </w:pPr>
      <w:r w:rsidRPr="00F34E54">
        <w:rPr>
          <w:rFonts w:ascii="Verdana" w:hAnsi="Verdana"/>
          <w:color w:val="808080" w:themeColor="background1" w:themeShade="80"/>
          <w:sz w:val="22"/>
          <w:szCs w:val="22"/>
          <w:lang w:val="en-GB"/>
        </w:rPr>
        <w:t xml:space="preserve">A prototype of the phantom has been built by CIRS Inc. It has been imaged using SenoBright HD, the CESM option for Senographe </w:t>
      </w:r>
      <w:proofErr w:type="spellStart"/>
      <w:r w:rsidRPr="00F34E54">
        <w:rPr>
          <w:rFonts w:ascii="Verdana" w:hAnsi="Verdana"/>
          <w:color w:val="808080" w:themeColor="background1" w:themeShade="80"/>
          <w:sz w:val="22"/>
          <w:szCs w:val="22"/>
          <w:lang w:val="en-GB"/>
        </w:rPr>
        <w:t>PristinaTM</w:t>
      </w:r>
      <w:proofErr w:type="spellEnd"/>
      <w:r w:rsidRPr="00F34E54">
        <w:rPr>
          <w:rFonts w:ascii="Verdana" w:hAnsi="Verdana"/>
          <w:color w:val="808080" w:themeColor="background1" w:themeShade="80"/>
          <w:sz w:val="22"/>
          <w:szCs w:val="22"/>
          <w:lang w:val="en-GB"/>
        </w:rPr>
        <w:t xml:space="preserve"> (GE Healthcare, Chicago, IL, USA), and the images viewed and measured.</w:t>
      </w:r>
    </w:p>
    <w:p w:rsidR="00137DED" w:rsidRPr="00F34E54" w:rsidRDefault="00137DED" w:rsidP="00F34E54">
      <w:pPr>
        <w:pStyle w:val="NormalWeb"/>
        <w:jc w:val="both"/>
        <w:rPr>
          <w:rFonts w:ascii="Verdana" w:hAnsi="Verdana"/>
          <w:color w:val="808080" w:themeColor="background1" w:themeShade="80"/>
          <w:sz w:val="22"/>
          <w:szCs w:val="22"/>
          <w:lang w:val="en-GB"/>
        </w:rPr>
      </w:pPr>
      <w:r w:rsidRPr="00F34E54">
        <w:rPr>
          <w:rFonts w:ascii="Verdana" w:hAnsi="Verdana"/>
          <w:color w:val="808080" w:themeColor="background1" w:themeShade="80"/>
          <w:sz w:val="22"/>
          <w:szCs w:val="22"/>
          <w:lang w:val="en-GB"/>
        </w:rPr>
        <w:t>The criteria to meet on recombined CESM images are:</w:t>
      </w:r>
    </w:p>
    <w:p w:rsidR="00137DED" w:rsidRPr="00F34E54" w:rsidRDefault="00137DED" w:rsidP="00137DED">
      <w:pPr>
        <w:pStyle w:val="NormalWeb"/>
        <w:numPr>
          <w:ilvl w:val="0"/>
          <w:numId w:val="4"/>
        </w:numPr>
        <w:rPr>
          <w:rFonts w:ascii="Verdana" w:hAnsi="Verdana"/>
          <w:color w:val="808080" w:themeColor="background1" w:themeShade="80"/>
          <w:sz w:val="22"/>
          <w:szCs w:val="22"/>
          <w:lang w:val="en-GB"/>
        </w:rPr>
      </w:pPr>
      <w:r w:rsidRPr="00F34E54">
        <w:rPr>
          <w:rFonts w:ascii="Verdana" w:hAnsi="Verdana"/>
          <w:color w:val="808080" w:themeColor="background1" w:themeShade="80"/>
          <w:sz w:val="22"/>
          <w:szCs w:val="22"/>
          <w:lang w:val="en-GB"/>
        </w:rPr>
        <w:t>Elimination of contrasts between the adipose and glandular equivalent materials</w:t>
      </w:r>
    </w:p>
    <w:p w:rsidR="00137DED" w:rsidRPr="00F34E54" w:rsidRDefault="00137DED" w:rsidP="00137DED">
      <w:pPr>
        <w:pStyle w:val="NormalWeb"/>
        <w:numPr>
          <w:ilvl w:val="0"/>
          <w:numId w:val="4"/>
        </w:numPr>
        <w:rPr>
          <w:rFonts w:ascii="Verdana" w:hAnsi="Verdana"/>
          <w:color w:val="808080" w:themeColor="background1" w:themeShade="80"/>
          <w:sz w:val="22"/>
          <w:szCs w:val="22"/>
          <w:lang w:val="en-GB"/>
        </w:rPr>
      </w:pPr>
      <w:r w:rsidRPr="00F34E54">
        <w:rPr>
          <w:rFonts w:ascii="Verdana" w:hAnsi="Verdana"/>
          <w:color w:val="808080" w:themeColor="background1" w:themeShade="80"/>
          <w:sz w:val="22"/>
          <w:szCs w:val="22"/>
          <w:lang w:val="en-GB"/>
        </w:rPr>
        <w:t>Visibility of the iodinated inserts</w:t>
      </w:r>
    </w:p>
    <w:p w:rsidR="00137DED" w:rsidRPr="00F34E54" w:rsidRDefault="00137DED" w:rsidP="00137DED">
      <w:pPr>
        <w:pStyle w:val="NormalWeb"/>
        <w:numPr>
          <w:ilvl w:val="0"/>
          <w:numId w:val="4"/>
        </w:numPr>
        <w:rPr>
          <w:rFonts w:ascii="Verdana" w:hAnsi="Verdana"/>
          <w:color w:val="808080" w:themeColor="background1" w:themeShade="80"/>
          <w:sz w:val="22"/>
          <w:szCs w:val="22"/>
          <w:lang w:val="en-GB"/>
        </w:rPr>
      </w:pPr>
      <w:r w:rsidRPr="00F34E54">
        <w:rPr>
          <w:rFonts w:ascii="Verdana" w:hAnsi="Verdana"/>
          <w:color w:val="808080" w:themeColor="background1" w:themeShade="80"/>
          <w:sz w:val="22"/>
          <w:szCs w:val="22"/>
          <w:lang w:val="en-GB"/>
        </w:rPr>
        <w:t>Insensitivity of the iodine contrast to the background material</w:t>
      </w:r>
    </w:p>
    <w:p w:rsidR="00137DED" w:rsidRPr="00F34E54" w:rsidRDefault="00137DED" w:rsidP="00137DED">
      <w:pPr>
        <w:pStyle w:val="NormalWeb"/>
        <w:numPr>
          <w:ilvl w:val="0"/>
          <w:numId w:val="4"/>
        </w:numPr>
        <w:rPr>
          <w:rFonts w:ascii="Verdana" w:hAnsi="Verdana"/>
          <w:color w:val="808080" w:themeColor="background1" w:themeShade="80"/>
          <w:sz w:val="22"/>
          <w:szCs w:val="22"/>
          <w:lang w:val="en-GB"/>
        </w:rPr>
      </w:pPr>
      <w:r w:rsidRPr="00F34E54">
        <w:rPr>
          <w:rFonts w:ascii="Verdana" w:hAnsi="Verdana"/>
          <w:color w:val="808080" w:themeColor="background1" w:themeShade="80"/>
          <w:sz w:val="22"/>
          <w:szCs w:val="22"/>
          <w:lang w:val="en-GB"/>
        </w:rPr>
        <w:t>Good relation between iodine concentration and contrast in images</w:t>
      </w:r>
    </w:p>
    <w:p w:rsidR="00137DED" w:rsidRPr="00F34E54" w:rsidRDefault="00137DED" w:rsidP="00F34E54">
      <w:pPr>
        <w:pStyle w:val="NormalWeb"/>
        <w:jc w:val="both"/>
        <w:rPr>
          <w:rFonts w:ascii="Verdana" w:hAnsi="Verdana"/>
          <w:color w:val="808080" w:themeColor="background1" w:themeShade="80"/>
          <w:sz w:val="22"/>
          <w:szCs w:val="22"/>
          <w:lang w:val="en-GB"/>
        </w:rPr>
      </w:pPr>
      <w:r w:rsidRPr="00F34E54">
        <w:rPr>
          <w:rFonts w:ascii="Verdana" w:hAnsi="Verdana"/>
          <w:color w:val="808080" w:themeColor="background1" w:themeShade="80"/>
          <w:sz w:val="22"/>
          <w:szCs w:val="22"/>
          <w:lang w:val="en-GB"/>
        </w:rPr>
        <w:t>All these criteria can be quickly checked visually, making it a simple and effective test of good operation.</w:t>
      </w:r>
    </w:p>
    <w:p w:rsidR="00137DED" w:rsidRPr="00F34E54" w:rsidRDefault="00137DED" w:rsidP="00F34E54">
      <w:pPr>
        <w:pStyle w:val="NormalWeb"/>
        <w:jc w:val="both"/>
        <w:rPr>
          <w:rFonts w:ascii="Verdana" w:hAnsi="Verdana"/>
          <w:color w:val="808080" w:themeColor="background1" w:themeShade="80"/>
          <w:sz w:val="22"/>
          <w:szCs w:val="22"/>
          <w:lang w:val="en-GB"/>
        </w:rPr>
      </w:pPr>
      <w:r w:rsidRPr="00F34E54">
        <w:rPr>
          <w:rFonts w:ascii="Verdana" w:hAnsi="Verdana"/>
          <w:color w:val="808080" w:themeColor="background1" w:themeShade="80"/>
          <w:sz w:val="22"/>
          <w:szCs w:val="22"/>
          <w:lang w:val="en-GB"/>
        </w:rPr>
        <w:t xml:space="preserve">In addition, quantitative assessment of the same criteria can be done. On this equipment, by design, the image levels in recombined images should be 2000 in absence of iodine, whatever the background, and the difference to 2000 proportional to iodine areal concentration. </w:t>
      </w:r>
    </w:p>
    <w:p w:rsidR="00137DED" w:rsidRPr="00F34E54" w:rsidRDefault="00137DED" w:rsidP="00F34E54">
      <w:pPr>
        <w:pStyle w:val="NormalWeb"/>
        <w:jc w:val="both"/>
        <w:rPr>
          <w:rFonts w:ascii="Verdana" w:hAnsi="Verdana"/>
          <w:color w:val="808080" w:themeColor="background1" w:themeShade="80"/>
          <w:sz w:val="22"/>
          <w:szCs w:val="22"/>
          <w:lang w:val="en-GB"/>
        </w:rPr>
      </w:pPr>
      <w:r w:rsidRPr="00F34E54">
        <w:rPr>
          <w:rFonts w:ascii="Verdana" w:hAnsi="Verdana"/>
          <w:color w:val="808080" w:themeColor="background1" w:themeShade="80"/>
          <w:sz w:val="22"/>
          <w:szCs w:val="22"/>
          <w:lang w:val="en-GB"/>
        </w:rPr>
        <w:t>Measurements have been performed on the recombined images “for display”, in circular regions of interest (ROI), 5 mm in diameter, centred on the inserts and positioned around them (top, bottom, left, right), equidistant from the inserts. For each insert the background value retained has been the average of the mean values (B1 to B4) of the four surrounding ROIs (figure 3). The values of the different backgrounds have been compared to each other and to the reference value 2000.</w:t>
      </w:r>
    </w:p>
    <w:p w:rsidR="00137DED" w:rsidRPr="00F34E54" w:rsidRDefault="00137DED" w:rsidP="00F34E54">
      <w:pPr>
        <w:spacing w:after="0" w:line="240" w:lineRule="auto"/>
        <w:jc w:val="both"/>
        <w:rPr>
          <w:rFonts w:ascii="Verdana" w:eastAsia="Times New Roman" w:hAnsi="Verdana" w:cs="Times New Roman"/>
          <w:color w:val="808080" w:themeColor="background1" w:themeShade="80"/>
          <w:lang w:val="en-GB" w:eastAsia="fr-FR"/>
        </w:rPr>
      </w:pPr>
      <w:r w:rsidRPr="00F34E54">
        <w:rPr>
          <w:rFonts w:ascii="Verdana" w:eastAsia="Times New Roman" w:hAnsi="Verdana" w:cs="Times New Roman"/>
          <w:color w:val="808080" w:themeColor="background1" w:themeShade="80"/>
          <w:lang w:val="en-GB" w:eastAsia="fr-FR"/>
        </w:rPr>
        <w:lastRenderedPageBreak/>
        <w:t xml:space="preserve">The contrasts generated by the inserts have been computed as the signal differences between the mean values in the ROIs centred on the inserts (I) and the corresponding backgrounds. </w:t>
      </w:r>
    </w:p>
    <w:p w:rsidR="00446195" w:rsidRPr="00F34E54" w:rsidRDefault="00137DED" w:rsidP="00F34E54">
      <w:pPr>
        <w:spacing w:after="0" w:line="240" w:lineRule="auto"/>
        <w:jc w:val="both"/>
        <w:rPr>
          <w:rFonts w:ascii="Verdana" w:eastAsia="Times New Roman" w:hAnsi="Verdana" w:cs="Times New Roman"/>
          <w:color w:val="808080" w:themeColor="background1" w:themeShade="80"/>
          <w:lang w:val="en-GB" w:eastAsia="fr-FR"/>
        </w:rPr>
      </w:pPr>
      <w:r w:rsidRPr="00F34E54">
        <w:rPr>
          <w:rFonts w:ascii="Verdana" w:eastAsia="Times New Roman" w:hAnsi="Verdana" w:cs="Times New Roman"/>
          <w:color w:val="808080" w:themeColor="background1" w:themeShade="80"/>
          <w:lang w:val="en-GB" w:eastAsia="fr-FR"/>
        </w:rPr>
        <w:t xml:space="preserve"> The operation has be</w:t>
      </w:r>
      <w:r w:rsidR="00F34E54">
        <w:rPr>
          <w:rFonts w:ascii="Verdana" w:eastAsia="Times New Roman" w:hAnsi="Verdana" w:cs="Times New Roman"/>
          <w:color w:val="808080" w:themeColor="background1" w:themeShade="80"/>
          <w:lang w:val="en-GB" w:eastAsia="fr-FR"/>
        </w:rPr>
        <w:t>e</w:t>
      </w:r>
      <w:r w:rsidRPr="00F34E54">
        <w:rPr>
          <w:rFonts w:ascii="Verdana" w:eastAsia="Times New Roman" w:hAnsi="Verdana" w:cs="Times New Roman"/>
          <w:color w:val="808080" w:themeColor="background1" w:themeShade="80"/>
          <w:lang w:val="en-GB" w:eastAsia="fr-FR"/>
        </w:rPr>
        <w:t>n done for each iodinated insert and the glandular insert on both the adipose and the glandular background</w:t>
      </w:r>
    </w:p>
    <w:p w:rsidR="00137DED" w:rsidRPr="00F34E54" w:rsidRDefault="00137DED" w:rsidP="00137DED">
      <w:pPr>
        <w:spacing w:after="0" w:line="240" w:lineRule="auto"/>
        <w:rPr>
          <w:rFonts w:ascii="Verdana" w:eastAsia="Times New Roman" w:hAnsi="Verdana" w:cs="Times New Roman"/>
          <w:b/>
          <w:color w:val="808080" w:themeColor="background1" w:themeShade="80"/>
          <w:sz w:val="24"/>
          <w:szCs w:val="24"/>
          <w:lang w:val="en-GB" w:eastAsia="fr-FR"/>
        </w:rPr>
      </w:pPr>
      <w:r w:rsidRPr="00F34E54">
        <w:rPr>
          <w:rFonts w:ascii="Verdana" w:eastAsia="Times New Roman" w:hAnsi="Verdana" w:cs="Times New Roman"/>
          <w:b/>
          <w:color w:val="808080" w:themeColor="background1" w:themeShade="80"/>
          <w:sz w:val="24"/>
          <w:szCs w:val="24"/>
          <w:lang w:val="en-GB" w:eastAsia="fr-FR"/>
        </w:rPr>
        <w:tab/>
      </w:r>
    </w:p>
    <w:p w:rsidR="00446195" w:rsidRDefault="00C80DBC" w:rsidP="00C80DBC">
      <w:pPr>
        <w:spacing w:after="0" w:line="240" w:lineRule="auto"/>
        <w:jc w:val="center"/>
        <w:rPr>
          <w:rFonts w:ascii="Verdana" w:eastAsia="Times New Roman" w:hAnsi="Verdana" w:cs="Times New Roman"/>
          <w:b/>
          <w:sz w:val="28"/>
          <w:szCs w:val="24"/>
          <w:lang w:val="en-GB" w:eastAsia="fr-FR"/>
        </w:rPr>
      </w:pPr>
      <w:r w:rsidRPr="007553AD">
        <w:rPr>
          <w:noProof/>
          <w:lang w:val="en-GB"/>
        </w:rPr>
        <w:drawing>
          <wp:inline distT="0" distB="0" distL="0" distR="0" wp14:anchorId="34FFFD4B" wp14:editId="089EBA78">
            <wp:extent cx="2017664" cy="1946084"/>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31637" cy="1959561"/>
                    </a:xfrm>
                    <a:prstGeom prst="rect">
                      <a:avLst/>
                    </a:prstGeom>
                  </pic:spPr>
                </pic:pic>
              </a:graphicData>
            </a:graphic>
          </wp:inline>
        </w:drawing>
      </w:r>
    </w:p>
    <w:p w:rsidR="00CE72F5" w:rsidRPr="00CE72F5" w:rsidRDefault="00CE72F5" w:rsidP="00082C3C">
      <w:pPr>
        <w:spacing w:after="0" w:line="240" w:lineRule="auto"/>
        <w:ind w:left="851" w:right="1134"/>
        <w:rPr>
          <w:rFonts w:ascii="Verdana" w:eastAsia="Times New Roman" w:hAnsi="Verdana" w:cs="Times New Roman"/>
          <w:sz w:val="20"/>
          <w:szCs w:val="15"/>
          <w:lang w:val="en-GB" w:eastAsia="fr-FR"/>
        </w:rPr>
      </w:pPr>
      <w:r w:rsidRPr="00CE72F5">
        <w:rPr>
          <w:rFonts w:ascii="Verdana" w:eastAsia="Times New Roman" w:hAnsi="Verdana" w:cs="Times New Roman"/>
          <w:b/>
          <w:bCs/>
          <w:sz w:val="20"/>
          <w:szCs w:val="15"/>
          <w:lang w:val="en-GB" w:eastAsia="fr-FR"/>
        </w:rPr>
        <w:t>Fig</w:t>
      </w:r>
      <w:r>
        <w:rPr>
          <w:rFonts w:ascii="Verdana" w:eastAsia="Times New Roman" w:hAnsi="Verdana" w:cs="Times New Roman"/>
          <w:b/>
          <w:bCs/>
          <w:sz w:val="20"/>
          <w:szCs w:val="15"/>
          <w:lang w:val="en-GB" w:eastAsia="fr-FR"/>
        </w:rPr>
        <w:t>.</w:t>
      </w:r>
      <w:r w:rsidRPr="00CE72F5">
        <w:rPr>
          <w:rFonts w:ascii="Verdana" w:eastAsia="Times New Roman" w:hAnsi="Verdana" w:cs="Times New Roman"/>
          <w:b/>
          <w:bCs/>
          <w:sz w:val="20"/>
          <w:szCs w:val="15"/>
          <w:lang w:val="en-GB" w:eastAsia="fr-FR"/>
        </w:rPr>
        <w:t xml:space="preserve"> </w:t>
      </w:r>
      <w:proofErr w:type="gramStart"/>
      <w:r w:rsidRPr="00CE72F5">
        <w:rPr>
          <w:rFonts w:ascii="Verdana" w:eastAsia="Times New Roman" w:hAnsi="Verdana" w:cs="Times New Roman"/>
          <w:b/>
          <w:bCs/>
          <w:sz w:val="20"/>
          <w:szCs w:val="15"/>
          <w:lang w:val="en-GB" w:eastAsia="fr-FR"/>
        </w:rPr>
        <w:t>3</w:t>
      </w:r>
      <w:r>
        <w:rPr>
          <w:rFonts w:ascii="Verdana" w:eastAsia="Times New Roman" w:hAnsi="Verdana" w:cs="Times New Roman"/>
          <w:b/>
          <w:bCs/>
          <w:sz w:val="20"/>
          <w:szCs w:val="15"/>
          <w:lang w:val="en-GB" w:eastAsia="fr-FR"/>
        </w:rPr>
        <w:t xml:space="preserve"> :</w:t>
      </w:r>
      <w:proofErr w:type="gramEnd"/>
      <w:r>
        <w:rPr>
          <w:rFonts w:ascii="Verdana" w:eastAsia="Times New Roman" w:hAnsi="Verdana" w:cs="Times New Roman"/>
          <w:b/>
          <w:bCs/>
          <w:sz w:val="20"/>
          <w:szCs w:val="15"/>
          <w:lang w:val="en-GB" w:eastAsia="fr-FR"/>
        </w:rPr>
        <w:t xml:space="preserve"> </w:t>
      </w:r>
      <w:r w:rsidRPr="00CE72F5">
        <w:rPr>
          <w:rFonts w:ascii="Verdana" w:eastAsia="Times New Roman" w:hAnsi="Verdana" w:cs="Times New Roman"/>
          <w:sz w:val="20"/>
          <w:szCs w:val="15"/>
          <w:lang w:val="en-GB" w:eastAsia="fr-FR"/>
        </w:rPr>
        <w:t xml:space="preserve">Positions of the ROIs for </w:t>
      </w:r>
      <w:r>
        <w:rPr>
          <w:rFonts w:ascii="Verdana" w:eastAsia="Times New Roman" w:hAnsi="Verdana" w:cs="Times New Roman"/>
          <w:sz w:val="20"/>
          <w:szCs w:val="15"/>
          <w:lang w:val="en-GB" w:eastAsia="fr-FR"/>
        </w:rPr>
        <w:t xml:space="preserve">quantitative assessment. B: ROIs for measuring the background values; I1 to I4 the </w:t>
      </w:r>
      <w:r w:rsidR="00082C3C">
        <w:rPr>
          <w:rFonts w:ascii="Verdana" w:eastAsia="Times New Roman" w:hAnsi="Verdana" w:cs="Times New Roman"/>
          <w:sz w:val="20"/>
          <w:szCs w:val="15"/>
          <w:lang w:val="en-GB" w:eastAsia="fr-FR"/>
        </w:rPr>
        <w:t xml:space="preserve">ROIs for measuring the </w:t>
      </w:r>
      <w:r>
        <w:rPr>
          <w:rFonts w:ascii="Verdana" w:eastAsia="Times New Roman" w:hAnsi="Verdana" w:cs="Times New Roman"/>
          <w:sz w:val="20"/>
          <w:szCs w:val="15"/>
          <w:lang w:val="en-GB" w:eastAsia="fr-FR"/>
        </w:rPr>
        <w:t>iodinated inserts from 0.25 to 2 mg/cm²</w:t>
      </w:r>
      <w:r w:rsidR="00082C3C">
        <w:rPr>
          <w:rFonts w:ascii="Verdana" w:eastAsia="Times New Roman" w:hAnsi="Verdana" w:cs="Times New Roman"/>
          <w:sz w:val="20"/>
          <w:szCs w:val="15"/>
          <w:lang w:val="en-GB" w:eastAsia="fr-FR"/>
        </w:rPr>
        <w:t>; I5 the ROI for the measurement of the glandular insert</w:t>
      </w:r>
    </w:p>
    <w:p w:rsidR="00CE72F5" w:rsidRPr="007553AD" w:rsidRDefault="00CE72F5" w:rsidP="00C80DBC">
      <w:pPr>
        <w:spacing w:after="0" w:line="240" w:lineRule="auto"/>
        <w:jc w:val="center"/>
        <w:rPr>
          <w:rFonts w:ascii="Verdana" w:eastAsia="Times New Roman" w:hAnsi="Verdana" w:cs="Times New Roman"/>
          <w:b/>
          <w:sz w:val="28"/>
          <w:szCs w:val="24"/>
          <w:lang w:val="en-GB" w:eastAsia="fr-FR"/>
        </w:rPr>
      </w:pPr>
    </w:p>
    <w:p w:rsidR="00CD21AA" w:rsidRPr="007553AD" w:rsidRDefault="00CD21AA" w:rsidP="00446195">
      <w:pPr>
        <w:keepNext/>
        <w:keepLines/>
        <w:spacing w:after="0" w:line="240" w:lineRule="auto"/>
        <w:rPr>
          <w:rFonts w:ascii="Verdana" w:eastAsia="Times New Roman" w:hAnsi="Verdana" w:cs="Times New Roman"/>
          <w:b/>
          <w:sz w:val="28"/>
          <w:szCs w:val="24"/>
          <w:lang w:val="en-GB" w:eastAsia="fr-FR"/>
        </w:rPr>
      </w:pPr>
      <w:r w:rsidRPr="007553AD">
        <w:rPr>
          <w:rFonts w:ascii="Verdana" w:eastAsia="Times New Roman" w:hAnsi="Verdana" w:cs="Times New Roman"/>
          <w:b/>
          <w:sz w:val="28"/>
          <w:szCs w:val="24"/>
          <w:lang w:val="en-GB" w:eastAsia="fr-FR"/>
        </w:rPr>
        <w:t xml:space="preserve">Results </w:t>
      </w:r>
    </w:p>
    <w:p w:rsidR="00CD21AA" w:rsidRPr="007553AD" w:rsidRDefault="00CD21AA" w:rsidP="00446195">
      <w:pPr>
        <w:pStyle w:val="NormalWeb"/>
        <w:keepNext/>
        <w:keepLines/>
        <w:rPr>
          <w:rFonts w:ascii="Verdana" w:hAnsi="Verdana"/>
          <w:color w:val="000000"/>
          <w:szCs w:val="17"/>
          <w:lang w:val="en-GB"/>
        </w:rPr>
      </w:pPr>
      <w:r w:rsidRPr="007553AD">
        <w:rPr>
          <w:rStyle w:val="Strong"/>
          <w:rFonts w:ascii="Verdana" w:hAnsi="Verdana"/>
          <w:color w:val="000000"/>
          <w:szCs w:val="17"/>
          <w:lang w:val="en-GB"/>
        </w:rPr>
        <w:t>Visual Inspection of the phantom: </w:t>
      </w:r>
    </w:p>
    <w:p w:rsidR="00F34E54" w:rsidRDefault="00137DED" w:rsidP="00F34E54">
      <w:pPr>
        <w:pStyle w:val="NormalWeb"/>
        <w:rPr>
          <w:rFonts w:ascii="Verdana" w:hAnsi="Verdana"/>
          <w:color w:val="000000"/>
          <w:sz w:val="22"/>
          <w:szCs w:val="17"/>
          <w:lang w:val="en-GB"/>
        </w:rPr>
      </w:pPr>
      <w:r w:rsidRPr="00137DED">
        <w:rPr>
          <w:rFonts w:ascii="Verdana" w:hAnsi="Verdana"/>
          <w:color w:val="000000"/>
          <w:sz w:val="22"/>
          <w:szCs w:val="17"/>
          <w:lang w:val="en-GB"/>
        </w:rPr>
        <w:t xml:space="preserve">The appearance of the different phantom plates is according to expectation (figures </w:t>
      </w:r>
      <w:r w:rsidR="001D4F33">
        <w:rPr>
          <w:rFonts w:ascii="Verdana" w:hAnsi="Verdana"/>
          <w:color w:val="000000"/>
          <w:sz w:val="22"/>
          <w:szCs w:val="17"/>
          <w:lang w:val="en-GB"/>
        </w:rPr>
        <w:t>4</w:t>
      </w:r>
      <w:r w:rsidRPr="00137DED">
        <w:rPr>
          <w:rFonts w:ascii="Verdana" w:hAnsi="Verdana"/>
          <w:color w:val="000000"/>
          <w:sz w:val="22"/>
          <w:szCs w:val="17"/>
          <w:lang w:val="en-GB"/>
        </w:rPr>
        <w:t xml:space="preserve"> and </w:t>
      </w:r>
      <w:r w:rsidR="001D4F33">
        <w:rPr>
          <w:rFonts w:ascii="Verdana" w:hAnsi="Verdana"/>
          <w:color w:val="000000"/>
          <w:sz w:val="22"/>
          <w:szCs w:val="17"/>
          <w:lang w:val="en-GB"/>
        </w:rPr>
        <w:t>5</w:t>
      </w:r>
      <w:r w:rsidRPr="00137DED">
        <w:rPr>
          <w:rFonts w:ascii="Verdana" w:hAnsi="Verdana"/>
          <w:color w:val="000000"/>
          <w:sz w:val="22"/>
          <w:szCs w:val="17"/>
          <w:lang w:val="en-GB"/>
        </w:rPr>
        <w:t>).</w:t>
      </w:r>
    </w:p>
    <w:p w:rsidR="00446195" w:rsidRPr="007553AD" w:rsidRDefault="00446195" w:rsidP="00446195">
      <w:pPr>
        <w:pStyle w:val="NormalWeb"/>
        <w:jc w:val="center"/>
        <w:rPr>
          <w:rFonts w:ascii="Verdana" w:hAnsi="Verdana"/>
          <w:color w:val="000000"/>
          <w:sz w:val="17"/>
          <w:szCs w:val="17"/>
          <w:lang w:val="en-GB"/>
        </w:rPr>
      </w:pPr>
      <w:r w:rsidRPr="007553AD">
        <w:rPr>
          <w:noProof/>
          <w:lang w:val="en-GB"/>
        </w:rPr>
        <w:drawing>
          <wp:inline distT="0" distB="0" distL="0" distR="0" wp14:anchorId="312CAE93" wp14:editId="6C423EDA">
            <wp:extent cx="3578454" cy="2281036"/>
            <wp:effectExtent l="0" t="0" r="317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00267" cy="2294941"/>
                    </a:xfrm>
                    <a:prstGeom prst="rect">
                      <a:avLst/>
                    </a:prstGeom>
                  </pic:spPr>
                </pic:pic>
              </a:graphicData>
            </a:graphic>
          </wp:inline>
        </w:drawing>
      </w:r>
    </w:p>
    <w:p w:rsidR="00446195" w:rsidRPr="007553AD" w:rsidRDefault="00446195" w:rsidP="00446195">
      <w:pPr>
        <w:pStyle w:val="NormalWeb"/>
        <w:jc w:val="center"/>
        <w:rPr>
          <w:rFonts w:ascii="Verdana" w:hAnsi="Verdana"/>
          <w:color w:val="000000"/>
          <w:sz w:val="20"/>
          <w:szCs w:val="17"/>
          <w:lang w:val="en-GB"/>
        </w:rPr>
      </w:pPr>
      <w:r w:rsidRPr="007553AD">
        <w:rPr>
          <w:rFonts w:ascii="Verdana" w:hAnsi="Verdana"/>
          <w:color w:val="000000"/>
          <w:sz w:val="20"/>
          <w:szCs w:val="17"/>
          <w:lang w:val="en-GB"/>
        </w:rPr>
        <w:t xml:space="preserve">Fig. </w:t>
      </w:r>
      <w:r w:rsidR="0084044C">
        <w:rPr>
          <w:rFonts w:ascii="Verdana" w:hAnsi="Verdana"/>
          <w:color w:val="000000"/>
          <w:sz w:val="20"/>
          <w:szCs w:val="17"/>
          <w:lang w:val="en-GB"/>
        </w:rPr>
        <w:t>4</w:t>
      </w:r>
      <w:r w:rsidRPr="007553AD">
        <w:rPr>
          <w:rFonts w:ascii="Verdana" w:hAnsi="Verdana"/>
          <w:color w:val="000000"/>
          <w:sz w:val="20"/>
          <w:szCs w:val="17"/>
          <w:lang w:val="en-GB"/>
        </w:rPr>
        <w:t xml:space="preserve"> Actual core plate with glandular and iodinated inserts</w:t>
      </w:r>
    </w:p>
    <w:p w:rsidR="00446195" w:rsidRPr="007553AD" w:rsidRDefault="00446195" w:rsidP="00446195">
      <w:pPr>
        <w:pStyle w:val="NormalWeb"/>
        <w:jc w:val="center"/>
        <w:rPr>
          <w:rFonts w:ascii="Verdana" w:hAnsi="Verdana"/>
          <w:color w:val="000000"/>
          <w:sz w:val="20"/>
          <w:szCs w:val="17"/>
          <w:lang w:val="en-GB"/>
        </w:rPr>
      </w:pPr>
      <w:r w:rsidRPr="007553AD">
        <w:rPr>
          <w:noProof/>
          <w:lang w:val="en-GB"/>
        </w:rPr>
        <w:lastRenderedPageBreak/>
        <w:drawing>
          <wp:inline distT="0" distB="0" distL="0" distR="0" wp14:anchorId="739583AA" wp14:editId="7EE01025">
            <wp:extent cx="3699724" cy="27878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48195" cy="2824367"/>
                    </a:xfrm>
                    <a:prstGeom prst="rect">
                      <a:avLst/>
                    </a:prstGeom>
                  </pic:spPr>
                </pic:pic>
              </a:graphicData>
            </a:graphic>
          </wp:inline>
        </w:drawing>
      </w:r>
    </w:p>
    <w:p w:rsidR="00446195" w:rsidRDefault="00415222" w:rsidP="00446195">
      <w:pPr>
        <w:pStyle w:val="NormalWeb"/>
        <w:jc w:val="center"/>
        <w:rPr>
          <w:rFonts w:ascii="Verdana" w:hAnsi="Verdana"/>
          <w:color w:val="000000"/>
          <w:sz w:val="20"/>
          <w:szCs w:val="17"/>
          <w:lang w:val="en-GB"/>
        </w:rPr>
      </w:pPr>
      <w:r>
        <w:rPr>
          <w:rFonts w:ascii="Verdana" w:hAnsi="Verdana"/>
          <w:b/>
          <w:color w:val="000000"/>
          <w:sz w:val="20"/>
          <w:szCs w:val="17"/>
          <w:lang w:val="en-GB"/>
        </w:rPr>
        <w:t xml:space="preserve">Fig </w:t>
      </w:r>
      <w:r w:rsidR="001D4F33">
        <w:rPr>
          <w:rFonts w:ascii="Verdana" w:hAnsi="Verdana"/>
          <w:b/>
          <w:color w:val="000000"/>
          <w:sz w:val="20"/>
          <w:szCs w:val="17"/>
          <w:lang w:val="en-GB"/>
        </w:rPr>
        <w:t>5</w:t>
      </w:r>
      <w:r w:rsidR="00446195" w:rsidRPr="00415222">
        <w:rPr>
          <w:rFonts w:ascii="Verdana" w:hAnsi="Verdana"/>
          <w:b/>
          <w:color w:val="000000"/>
          <w:sz w:val="20"/>
          <w:szCs w:val="17"/>
          <w:lang w:val="en-GB"/>
        </w:rPr>
        <w:t>:</w:t>
      </w:r>
      <w:r w:rsidR="00446195" w:rsidRPr="007553AD">
        <w:rPr>
          <w:rFonts w:ascii="Verdana" w:hAnsi="Verdana"/>
          <w:color w:val="000000"/>
          <w:sz w:val="20"/>
          <w:szCs w:val="17"/>
          <w:lang w:val="en-GB"/>
        </w:rPr>
        <w:t xml:space="preserve"> set of plates and complete </w:t>
      </w:r>
      <w:r w:rsidR="00D72C9C" w:rsidRPr="007553AD">
        <w:rPr>
          <w:rFonts w:ascii="Verdana" w:hAnsi="Verdana"/>
          <w:color w:val="000000"/>
          <w:sz w:val="20"/>
          <w:szCs w:val="17"/>
          <w:lang w:val="en-GB"/>
        </w:rPr>
        <w:t xml:space="preserve">assembled </w:t>
      </w:r>
      <w:r w:rsidR="00446195" w:rsidRPr="007553AD">
        <w:rPr>
          <w:rFonts w:ascii="Verdana" w:hAnsi="Verdana"/>
          <w:color w:val="000000"/>
          <w:sz w:val="20"/>
          <w:szCs w:val="17"/>
          <w:lang w:val="en-GB"/>
        </w:rPr>
        <w:t>phantom</w:t>
      </w:r>
    </w:p>
    <w:p w:rsidR="007A33C8" w:rsidRDefault="007A33C8" w:rsidP="00446195">
      <w:pPr>
        <w:pStyle w:val="NormalWeb"/>
        <w:jc w:val="center"/>
        <w:rPr>
          <w:rFonts w:ascii="Verdana" w:hAnsi="Verdana"/>
          <w:color w:val="000000"/>
          <w:sz w:val="20"/>
          <w:szCs w:val="17"/>
          <w:lang w:val="en-GB"/>
        </w:rPr>
      </w:pPr>
      <w:r>
        <w:rPr>
          <w:noProof/>
        </w:rPr>
        <w:drawing>
          <wp:inline distT="0" distB="0" distL="0" distR="0" wp14:anchorId="124ABE50" wp14:editId="5EB1DB98">
            <wp:extent cx="3689342" cy="276660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10489" cy="2782458"/>
                    </a:xfrm>
                    <a:prstGeom prst="rect">
                      <a:avLst/>
                    </a:prstGeom>
                  </pic:spPr>
                </pic:pic>
              </a:graphicData>
            </a:graphic>
          </wp:inline>
        </w:drawing>
      </w:r>
    </w:p>
    <w:p w:rsidR="00415222" w:rsidRPr="007553AD" w:rsidRDefault="00415222" w:rsidP="00446195">
      <w:pPr>
        <w:pStyle w:val="NormalWeb"/>
        <w:jc w:val="center"/>
        <w:rPr>
          <w:rFonts w:ascii="Verdana" w:hAnsi="Verdana"/>
          <w:color w:val="000000"/>
          <w:sz w:val="20"/>
          <w:szCs w:val="17"/>
          <w:lang w:val="en-GB"/>
        </w:rPr>
      </w:pPr>
      <w:r w:rsidRPr="00415222">
        <w:rPr>
          <w:rFonts w:ascii="Verdana" w:hAnsi="Verdana"/>
          <w:b/>
          <w:color w:val="000000"/>
          <w:sz w:val="20"/>
          <w:szCs w:val="17"/>
          <w:lang w:val="en-GB"/>
        </w:rPr>
        <w:t xml:space="preserve">Fig </w:t>
      </w:r>
      <w:r w:rsidR="001D4F33">
        <w:rPr>
          <w:rFonts w:ascii="Verdana" w:hAnsi="Verdana"/>
          <w:b/>
          <w:color w:val="000000"/>
          <w:sz w:val="20"/>
          <w:szCs w:val="17"/>
          <w:lang w:val="en-GB"/>
        </w:rPr>
        <w:t>6</w:t>
      </w:r>
      <w:r w:rsidRPr="00415222">
        <w:rPr>
          <w:rFonts w:ascii="Verdana" w:hAnsi="Verdana"/>
          <w:b/>
          <w:color w:val="000000"/>
          <w:sz w:val="20"/>
          <w:szCs w:val="17"/>
          <w:lang w:val="en-GB"/>
        </w:rPr>
        <w:t>:</w:t>
      </w:r>
      <w:r>
        <w:rPr>
          <w:rFonts w:ascii="Verdana" w:hAnsi="Verdana"/>
          <w:color w:val="000000"/>
          <w:sz w:val="20"/>
          <w:szCs w:val="17"/>
          <w:lang w:val="en-GB"/>
        </w:rPr>
        <w:t xml:space="preserve"> Phantom positioned on the mammographic equipment</w:t>
      </w:r>
    </w:p>
    <w:p w:rsidR="00F34E54" w:rsidRDefault="00CD21AA" w:rsidP="00F34E54">
      <w:pPr>
        <w:pStyle w:val="NormalWeb"/>
        <w:jc w:val="both"/>
        <w:rPr>
          <w:rFonts w:ascii="Verdana" w:hAnsi="Verdana"/>
          <w:color w:val="000000"/>
          <w:szCs w:val="17"/>
          <w:lang w:val="en-GB"/>
        </w:rPr>
      </w:pPr>
      <w:r w:rsidRPr="007553AD">
        <w:rPr>
          <w:rStyle w:val="Strong"/>
          <w:rFonts w:ascii="Verdana" w:hAnsi="Verdana"/>
          <w:color w:val="000000"/>
          <w:szCs w:val="17"/>
          <w:lang w:val="en-GB"/>
        </w:rPr>
        <w:t>Visual observation of images:  </w:t>
      </w:r>
      <w:r w:rsidRPr="007553AD">
        <w:rPr>
          <w:rFonts w:ascii="Verdana" w:hAnsi="Verdana"/>
          <w:color w:val="000000"/>
          <w:szCs w:val="17"/>
          <w:lang w:val="en-GB"/>
        </w:rPr>
        <w:t xml:space="preserve"> </w:t>
      </w:r>
    </w:p>
    <w:p w:rsidR="00D72C9C" w:rsidRPr="00F34E54" w:rsidRDefault="00F34E54" w:rsidP="00F34E54">
      <w:pPr>
        <w:pStyle w:val="NormalWeb"/>
        <w:jc w:val="both"/>
        <w:rPr>
          <w:rFonts w:ascii="Verdana" w:hAnsi="Verdana"/>
          <w:color w:val="808080" w:themeColor="background1" w:themeShade="80"/>
          <w:sz w:val="22"/>
          <w:szCs w:val="17"/>
          <w:lang w:val="en-GB"/>
        </w:rPr>
      </w:pPr>
      <w:r w:rsidRPr="00F34E54">
        <w:rPr>
          <w:rFonts w:ascii="Verdana" w:hAnsi="Verdana"/>
          <w:color w:val="000000"/>
          <w:sz w:val="22"/>
          <w:szCs w:val="17"/>
          <w:lang w:val="en-GB"/>
        </w:rPr>
        <w:t xml:space="preserve">After CESM acquisition (figure </w:t>
      </w:r>
      <w:r w:rsidR="001D4F33">
        <w:rPr>
          <w:rFonts w:ascii="Verdana" w:hAnsi="Verdana"/>
          <w:color w:val="000000"/>
          <w:sz w:val="22"/>
          <w:szCs w:val="17"/>
          <w:lang w:val="en-GB"/>
        </w:rPr>
        <w:t>6</w:t>
      </w:r>
      <w:r w:rsidRPr="00F34E54">
        <w:rPr>
          <w:rFonts w:ascii="Verdana" w:hAnsi="Verdana"/>
          <w:color w:val="000000"/>
          <w:sz w:val="22"/>
          <w:szCs w:val="17"/>
          <w:lang w:val="en-GB"/>
        </w:rPr>
        <w:t xml:space="preserve">), the low energy image (same as a regular mammogram) mostly shows the very large difference between the two halves, making it difficult to display in a single image.  Using different contrast window settings for each half allows to better demonstrate the different contrasts, and </w:t>
      </w:r>
      <w:proofErr w:type="gramStart"/>
      <w:r w:rsidRPr="00F34E54">
        <w:rPr>
          <w:rFonts w:ascii="Verdana" w:hAnsi="Verdana"/>
          <w:color w:val="000000"/>
          <w:sz w:val="22"/>
          <w:szCs w:val="17"/>
          <w:lang w:val="en-GB"/>
        </w:rPr>
        <w:t>in particular the</w:t>
      </w:r>
      <w:proofErr w:type="gramEnd"/>
      <w:r w:rsidRPr="00F34E54">
        <w:rPr>
          <w:rFonts w:ascii="Verdana" w:hAnsi="Verdana"/>
          <w:color w:val="000000"/>
          <w:sz w:val="22"/>
          <w:szCs w:val="17"/>
          <w:lang w:val="en-GB"/>
        </w:rPr>
        <w:t xml:space="preserve"> good </w:t>
      </w:r>
      <w:r w:rsidRPr="00F34E54">
        <w:rPr>
          <w:rFonts w:ascii="Verdana" w:hAnsi="Verdana"/>
          <w:color w:val="808080" w:themeColor="background1" w:themeShade="80"/>
          <w:sz w:val="22"/>
          <w:szCs w:val="17"/>
          <w:lang w:val="en-GB"/>
        </w:rPr>
        <w:t xml:space="preserve">visibility of the glandular inserts and the weak contrast of the iodine inserts (figure </w:t>
      </w:r>
      <w:r w:rsidR="007C7D2E">
        <w:rPr>
          <w:rFonts w:ascii="Verdana" w:hAnsi="Verdana"/>
          <w:color w:val="808080" w:themeColor="background1" w:themeShade="80"/>
          <w:sz w:val="22"/>
          <w:szCs w:val="17"/>
          <w:lang w:val="en-GB"/>
        </w:rPr>
        <w:t>7</w:t>
      </w:r>
      <w:r w:rsidRPr="00F34E54">
        <w:rPr>
          <w:rFonts w:ascii="Verdana" w:hAnsi="Verdana"/>
          <w:color w:val="808080" w:themeColor="background1" w:themeShade="80"/>
          <w:sz w:val="22"/>
          <w:szCs w:val="17"/>
          <w:lang w:val="en-GB"/>
        </w:rPr>
        <w:t>).</w:t>
      </w:r>
    </w:p>
    <w:p w:rsidR="00D72C9C" w:rsidRPr="007553AD" w:rsidRDefault="00082C3C" w:rsidP="00D72C9C">
      <w:pPr>
        <w:pStyle w:val="NormalWeb"/>
        <w:jc w:val="center"/>
        <w:rPr>
          <w:rFonts w:ascii="Verdana" w:hAnsi="Verdana"/>
          <w:color w:val="000000"/>
          <w:sz w:val="22"/>
          <w:szCs w:val="17"/>
          <w:lang w:val="en-GB"/>
        </w:rPr>
      </w:pPr>
      <w:r>
        <w:rPr>
          <w:noProof/>
        </w:rPr>
        <w:lastRenderedPageBreak/>
        <w:drawing>
          <wp:inline distT="0" distB="0" distL="0" distR="0" wp14:anchorId="6EA2EA72" wp14:editId="0D326752">
            <wp:extent cx="3578157" cy="2673757"/>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02805" cy="2692175"/>
                    </a:xfrm>
                    <a:prstGeom prst="rect">
                      <a:avLst/>
                    </a:prstGeom>
                  </pic:spPr>
                </pic:pic>
              </a:graphicData>
            </a:graphic>
          </wp:inline>
        </w:drawing>
      </w:r>
    </w:p>
    <w:p w:rsidR="00D72C9C" w:rsidRPr="007553AD" w:rsidRDefault="00D72C9C" w:rsidP="00082C3C">
      <w:pPr>
        <w:pStyle w:val="NormalWeb"/>
        <w:ind w:left="851" w:right="850" w:hanging="851"/>
        <w:rPr>
          <w:rFonts w:ascii="Verdana" w:hAnsi="Verdana"/>
          <w:color w:val="000000"/>
          <w:sz w:val="20"/>
          <w:szCs w:val="17"/>
          <w:lang w:val="en-GB"/>
        </w:rPr>
      </w:pPr>
      <w:r w:rsidRPr="00082C3C">
        <w:rPr>
          <w:rFonts w:ascii="Verdana" w:hAnsi="Verdana"/>
          <w:b/>
          <w:color w:val="000000"/>
          <w:sz w:val="20"/>
          <w:szCs w:val="17"/>
          <w:lang w:val="en-GB"/>
        </w:rPr>
        <w:t>Fig.</w:t>
      </w:r>
      <w:r w:rsidR="007C180A">
        <w:rPr>
          <w:rFonts w:ascii="Verdana" w:hAnsi="Verdana"/>
          <w:b/>
          <w:color w:val="000000"/>
          <w:sz w:val="20"/>
          <w:szCs w:val="17"/>
          <w:lang w:val="en-GB"/>
        </w:rPr>
        <w:t>7</w:t>
      </w:r>
      <w:r w:rsidRPr="00082C3C">
        <w:rPr>
          <w:rFonts w:ascii="Verdana" w:hAnsi="Verdana"/>
          <w:b/>
          <w:color w:val="000000"/>
          <w:sz w:val="20"/>
          <w:szCs w:val="17"/>
          <w:lang w:val="en-GB"/>
        </w:rPr>
        <w:t>:</w:t>
      </w:r>
      <w:r w:rsidRPr="007553AD">
        <w:rPr>
          <w:rFonts w:ascii="Verdana" w:hAnsi="Verdana"/>
          <w:color w:val="000000"/>
          <w:sz w:val="20"/>
          <w:szCs w:val="17"/>
          <w:lang w:val="en-GB"/>
        </w:rPr>
        <w:t xml:space="preserve"> Regular mammogram of the complete phantom (Low energy component of the CESM pair)</w:t>
      </w:r>
      <w:r w:rsidRPr="007553AD">
        <w:rPr>
          <w:rFonts w:ascii="Verdana" w:hAnsi="Verdana"/>
          <w:color w:val="000000"/>
          <w:sz w:val="20"/>
          <w:szCs w:val="17"/>
          <w:lang w:val="en-GB"/>
        </w:rPr>
        <w:br/>
        <w:t xml:space="preserve">a) complete phantom; b) and c) details of adipose and glandular halves with adjusted window settings </w:t>
      </w:r>
    </w:p>
    <w:p w:rsidR="00F34E54" w:rsidRPr="00F34E54" w:rsidRDefault="00F34E54" w:rsidP="00F34E54">
      <w:pPr>
        <w:pStyle w:val="NormalWeb"/>
        <w:jc w:val="both"/>
        <w:rPr>
          <w:rFonts w:ascii="Verdana" w:hAnsi="Verdana"/>
          <w:color w:val="808080" w:themeColor="background1" w:themeShade="80"/>
          <w:sz w:val="22"/>
          <w:szCs w:val="22"/>
          <w:lang w:val="en-GB"/>
        </w:rPr>
      </w:pPr>
      <w:r w:rsidRPr="00F34E54">
        <w:rPr>
          <w:rFonts w:ascii="Verdana" w:hAnsi="Verdana"/>
          <w:color w:val="808080" w:themeColor="background1" w:themeShade="80"/>
          <w:sz w:val="22"/>
          <w:szCs w:val="22"/>
          <w:lang w:val="en-GB"/>
        </w:rPr>
        <w:t xml:space="preserve">After CESM processing between the low and high energy images, all iodinated inserts are visible with the same contrast windowing, over both glandular and adipose backgrounds. The difference between the two halves of the phantom (adipose vs. glandular) is hardly visible, and the 100% glandular inserts cannot be seen anymore (figure </w:t>
      </w:r>
      <w:r w:rsidR="007C7D2E">
        <w:rPr>
          <w:rFonts w:ascii="Verdana" w:hAnsi="Verdana"/>
          <w:color w:val="808080" w:themeColor="background1" w:themeShade="80"/>
          <w:sz w:val="22"/>
          <w:szCs w:val="22"/>
          <w:lang w:val="en-GB"/>
        </w:rPr>
        <w:t>8</w:t>
      </w:r>
      <w:r w:rsidRPr="00F34E54">
        <w:rPr>
          <w:rFonts w:ascii="Verdana" w:hAnsi="Verdana"/>
          <w:color w:val="808080" w:themeColor="background1" w:themeShade="80"/>
          <w:sz w:val="22"/>
          <w:szCs w:val="22"/>
          <w:lang w:val="en-GB"/>
        </w:rPr>
        <w:t>)</w:t>
      </w:r>
    </w:p>
    <w:p w:rsidR="00C15828" w:rsidRPr="007553AD" w:rsidRDefault="00D72C9C" w:rsidP="00F34E54">
      <w:pPr>
        <w:pStyle w:val="NormalWeb"/>
        <w:jc w:val="center"/>
        <w:rPr>
          <w:rFonts w:ascii="Verdana" w:hAnsi="Verdana"/>
          <w:color w:val="000000"/>
          <w:sz w:val="20"/>
          <w:szCs w:val="17"/>
          <w:lang w:val="en-GB"/>
        </w:rPr>
      </w:pPr>
      <w:r w:rsidRPr="007553AD">
        <w:rPr>
          <w:noProof/>
          <w:lang w:val="en-GB"/>
        </w:rPr>
        <w:drawing>
          <wp:inline distT="0" distB="0" distL="0" distR="0" wp14:anchorId="72978130" wp14:editId="5CCE19D7">
            <wp:extent cx="4242775" cy="2834736"/>
            <wp:effectExtent l="0" t="0" r="571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535" r="7308"/>
                    <a:stretch/>
                  </pic:blipFill>
                  <pic:spPr bwMode="auto">
                    <a:xfrm>
                      <a:off x="0" y="0"/>
                      <a:ext cx="4268687" cy="2852049"/>
                    </a:xfrm>
                    <a:prstGeom prst="rect">
                      <a:avLst/>
                    </a:prstGeom>
                    <a:ln>
                      <a:noFill/>
                    </a:ln>
                    <a:extLst>
                      <a:ext uri="{53640926-AAD7-44D8-BBD7-CCE9431645EC}">
                        <a14:shadowObscured xmlns:a14="http://schemas.microsoft.com/office/drawing/2010/main"/>
                      </a:ext>
                    </a:extLst>
                  </pic:spPr>
                </pic:pic>
              </a:graphicData>
            </a:graphic>
          </wp:inline>
        </w:drawing>
      </w:r>
    </w:p>
    <w:p w:rsidR="00C15828" w:rsidRPr="007553AD" w:rsidRDefault="00C15828" w:rsidP="007138B3">
      <w:pPr>
        <w:pStyle w:val="NormalWeb"/>
        <w:ind w:left="851" w:right="850"/>
        <w:rPr>
          <w:rFonts w:ascii="Verdana" w:hAnsi="Verdana"/>
          <w:color w:val="000000"/>
          <w:sz w:val="20"/>
          <w:szCs w:val="17"/>
          <w:lang w:val="en-GB"/>
        </w:rPr>
      </w:pPr>
      <w:r w:rsidRPr="007138B3">
        <w:rPr>
          <w:rFonts w:ascii="Verdana" w:hAnsi="Verdana"/>
          <w:b/>
          <w:color w:val="000000"/>
          <w:sz w:val="20"/>
          <w:szCs w:val="17"/>
          <w:lang w:val="en-GB"/>
        </w:rPr>
        <w:t>Fig.</w:t>
      </w:r>
      <w:r w:rsidR="007C7D2E">
        <w:rPr>
          <w:rFonts w:ascii="Verdana" w:hAnsi="Verdana"/>
          <w:b/>
          <w:color w:val="000000"/>
          <w:sz w:val="20"/>
          <w:szCs w:val="17"/>
          <w:lang w:val="en-GB"/>
        </w:rPr>
        <w:t>8</w:t>
      </w:r>
      <w:r w:rsidRPr="007138B3">
        <w:rPr>
          <w:rFonts w:ascii="Verdana" w:hAnsi="Verdana"/>
          <w:b/>
          <w:color w:val="000000"/>
          <w:sz w:val="20"/>
          <w:szCs w:val="17"/>
          <w:lang w:val="en-GB"/>
        </w:rPr>
        <w:t>:</w:t>
      </w:r>
      <w:r w:rsidR="00DC5DD1">
        <w:rPr>
          <w:rFonts w:ascii="Verdana" w:hAnsi="Verdana"/>
          <w:color w:val="000000"/>
          <w:sz w:val="20"/>
          <w:szCs w:val="17"/>
          <w:lang w:val="en-GB"/>
        </w:rPr>
        <w:t xml:space="preserve"> Recombined CESM image</w:t>
      </w:r>
      <w:r w:rsidRPr="007553AD">
        <w:rPr>
          <w:rFonts w:ascii="Verdana" w:hAnsi="Verdana"/>
          <w:color w:val="000000"/>
          <w:sz w:val="20"/>
          <w:szCs w:val="17"/>
          <w:lang w:val="en-GB"/>
        </w:rPr>
        <w:t xml:space="preserve"> </w:t>
      </w:r>
      <w:r w:rsidR="00DC5DD1">
        <w:rPr>
          <w:rFonts w:ascii="Verdana" w:hAnsi="Verdana"/>
          <w:color w:val="000000"/>
          <w:sz w:val="20"/>
          <w:szCs w:val="17"/>
          <w:lang w:val="en-GB"/>
        </w:rPr>
        <w:t xml:space="preserve">- </w:t>
      </w:r>
      <w:r w:rsidRPr="007553AD">
        <w:rPr>
          <w:rFonts w:ascii="Verdana" w:hAnsi="Verdana"/>
          <w:color w:val="000000"/>
          <w:sz w:val="20"/>
          <w:szCs w:val="17"/>
          <w:lang w:val="en-GB"/>
        </w:rPr>
        <w:t>a) complete phantom; b) positions of the ROIs for measuring the image levels in the inserts (red) and the surrounding background (yellow). The same applies on both sides.</w:t>
      </w:r>
    </w:p>
    <w:p w:rsidR="00D72C9C" w:rsidRPr="007553AD" w:rsidRDefault="00557111" w:rsidP="00D72C9C">
      <w:pPr>
        <w:pStyle w:val="NormalWeb"/>
        <w:jc w:val="center"/>
        <w:rPr>
          <w:rFonts w:ascii="Verdana" w:hAnsi="Verdana"/>
          <w:color w:val="000000"/>
          <w:sz w:val="36"/>
          <w:szCs w:val="22"/>
          <w:lang w:val="en-GB"/>
        </w:rPr>
      </w:pPr>
      <w:r w:rsidRPr="007553AD">
        <w:rPr>
          <w:rFonts w:ascii="Verdana" w:hAnsi="Verdana"/>
          <w:color w:val="000000"/>
          <w:sz w:val="36"/>
          <w:szCs w:val="22"/>
          <w:lang w:val="en-GB"/>
        </w:rPr>
        <w:t xml:space="preserve"> </w:t>
      </w:r>
    </w:p>
    <w:p w:rsidR="007138B3" w:rsidRDefault="00CD21AA" w:rsidP="007138B3">
      <w:pPr>
        <w:pStyle w:val="NormalWeb"/>
        <w:keepNext/>
        <w:keepLines/>
        <w:rPr>
          <w:rFonts w:ascii="Verdana" w:hAnsi="Verdana"/>
          <w:color w:val="000000"/>
          <w:sz w:val="20"/>
          <w:szCs w:val="17"/>
          <w:lang w:val="en-GB"/>
        </w:rPr>
      </w:pPr>
      <w:r w:rsidRPr="007553AD">
        <w:rPr>
          <w:rStyle w:val="Strong"/>
          <w:rFonts w:ascii="Verdana" w:hAnsi="Verdana"/>
          <w:color w:val="000000"/>
          <w:szCs w:val="17"/>
          <w:lang w:val="en-GB"/>
        </w:rPr>
        <w:lastRenderedPageBreak/>
        <w:t>Measurements</w:t>
      </w:r>
      <w:r w:rsidR="001377FE">
        <w:rPr>
          <w:rStyle w:val="Strong"/>
          <w:rFonts w:ascii="Verdana" w:hAnsi="Verdana"/>
          <w:color w:val="000000"/>
          <w:szCs w:val="17"/>
          <w:lang w:val="en-GB"/>
        </w:rPr>
        <w:t xml:space="preserve"> results</w:t>
      </w:r>
      <w:r w:rsidR="007138B3">
        <w:rPr>
          <w:rStyle w:val="Strong"/>
          <w:rFonts w:ascii="Verdana" w:hAnsi="Verdana"/>
          <w:color w:val="000000"/>
          <w:szCs w:val="17"/>
          <w:lang w:val="en-GB"/>
        </w:rPr>
        <w:t xml:space="preserve"> (table 1)</w:t>
      </w:r>
      <w:r w:rsidRPr="007553AD">
        <w:rPr>
          <w:rStyle w:val="Strong"/>
          <w:rFonts w:ascii="Verdana" w:hAnsi="Verdana"/>
          <w:color w:val="000000"/>
          <w:szCs w:val="17"/>
          <w:lang w:val="en-GB"/>
        </w:rPr>
        <w:t>:</w:t>
      </w:r>
      <w:r w:rsidR="007138B3" w:rsidRPr="007138B3">
        <w:rPr>
          <w:rFonts w:ascii="Verdana" w:hAnsi="Verdana"/>
          <w:color w:val="000000"/>
          <w:sz w:val="20"/>
          <w:szCs w:val="17"/>
          <w:lang w:val="en-GB"/>
        </w:rPr>
        <w:t xml:space="preserve"> </w:t>
      </w:r>
    </w:p>
    <w:p w:rsidR="00E27059" w:rsidRPr="007553AD" w:rsidRDefault="007138B3" w:rsidP="007138B3">
      <w:pPr>
        <w:pStyle w:val="NormalWeb"/>
        <w:keepNext/>
        <w:keepLines/>
        <w:rPr>
          <w:rFonts w:ascii="Verdana" w:hAnsi="Verdana"/>
          <w:color w:val="000000"/>
          <w:sz w:val="20"/>
          <w:szCs w:val="17"/>
          <w:lang w:val="en-GB"/>
        </w:rPr>
      </w:pPr>
      <w:r w:rsidRPr="007553AD">
        <w:rPr>
          <w:rFonts w:ascii="Verdana" w:hAnsi="Verdana"/>
          <w:color w:val="000000"/>
          <w:sz w:val="20"/>
          <w:szCs w:val="17"/>
          <w:lang w:val="en-GB"/>
        </w:rPr>
        <w:t>Table 1</w:t>
      </w:r>
      <w:r>
        <w:rPr>
          <w:rFonts w:ascii="Verdana" w:hAnsi="Verdana"/>
          <w:color w:val="000000"/>
          <w:sz w:val="20"/>
          <w:szCs w:val="17"/>
          <w:lang w:val="en-GB"/>
        </w:rPr>
        <w:t>: results of measurements</w:t>
      </w:r>
    </w:p>
    <w:tbl>
      <w:tblPr>
        <w:tblpPr w:leftFromText="141" w:rightFromText="141" w:vertAnchor="text" w:horzAnchor="page" w:tblpX="1509" w:tblpY="57"/>
        <w:tblW w:w="9400" w:type="dxa"/>
        <w:tblCellMar>
          <w:left w:w="70" w:type="dxa"/>
          <w:right w:w="70" w:type="dxa"/>
        </w:tblCellMar>
        <w:tblLook w:val="04A0" w:firstRow="1" w:lastRow="0" w:firstColumn="1" w:lastColumn="0" w:noHBand="0" w:noVBand="1"/>
      </w:tblPr>
      <w:tblGrid>
        <w:gridCol w:w="1079"/>
        <w:gridCol w:w="1116"/>
        <w:gridCol w:w="915"/>
        <w:gridCol w:w="1037"/>
        <w:gridCol w:w="1239"/>
        <w:gridCol w:w="958"/>
        <w:gridCol w:w="955"/>
        <w:gridCol w:w="958"/>
        <w:gridCol w:w="1143"/>
      </w:tblGrid>
      <w:tr w:rsidR="007138B3" w:rsidRPr="00042EE5" w:rsidTr="007138B3">
        <w:trPr>
          <w:cantSplit/>
          <w:trHeight w:val="315"/>
        </w:trPr>
        <w:tc>
          <w:tcPr>
            <w:tcW w:w="1079" w:type="dxa"/>
            <w:tcBorders>
              <w:top w:val="nil"/>
              <w:left w:val="nil"/>
              <w:bottom w:val="nil"/>
              <w:right w:val="nil"/>
            </w:tcBorders>
            <w:shd w:val="clear" w:color="auto" w:fill="auto"/>
            <w:vAlign w:val="center"/>
            <w:hideMark/>
          </w:tcPr>
          <w:p w:rsidR="007138B3" w:rsidRPr="00042EE5" w:rsidRDefault="007138B3" w:rsidP="007138B3">
            <w:pPr>
              <w:keepNext/>
              <w:keepLines/>
              <w:spacing w:after="0" w:line="240" w:lineRule="auto"/>
              <w:rPr>
                <w:rFonts w:ascii="Times New Roman" w:eastAsia="Times New Roman" w:hAnsi="Times New Roman" w:cs="Times New Roman"/>
                <w:sz w:val="24"/>
                <w:szCs w:val="24"/>
                <w:lang w:val="en-GB" w:eastAsia="fr-FR"/>
              </w:rPr>
            </w:pPr>
          </w:p>
        </w:tc>
        <w:tc>
          <w:tcPr>
            <w:tcW w:w="4307" w:type="dxa"/>
            <w:gridSpan w:val="4"/>
            <w:tcBorders>
              <w:top w:val="nil"/>
              <w:left w:val="nil"/>
              <w:bottom w:val="nil"/>
              <w:right w:val="nil"/>
            </w:tcBorders>
            <w:shd w:val="clear" w:color="000000" w:fill="FFE699"/>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Adipose Background</w:t>
            </w:r>
          </w:p>
        </w:tc>
        <w:tc>
          <w:tcPr>
            <w:tcW w:w="4014" w:type="dxa"/>
            <w:gridSpan w:val="4"/>
            <w:tcBorders>
              <w:top w:val="nil"/>
              <w:left w:val="nil"/>
              <w:bottom w:val="nil"/>
              <w:right w:val="nil"/>
            </w:tcBorders>
            <w:shd w:val="clear" w:color="000000" w:fill="F8CBAD"/>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 xml:space="preserve">Glandular </w:t>
            </w:r>
            <w:r>
              <w:rPr>
                <w:rFonts w:ascii="Arial" w:eastAsia="Times New Roman" w:hAnsi="Arial" w:cs="Arial"/>
                <w:color w:val="000000"/>
                <w:lang w:val="en-GB" w:eastAsia="fr-FR"/>
              </w:rPr>
              <w:t>B</w:t>
            </w:r>
            <w:r w:rsidRPr="00042EE5">
              <w:rPr>
                <w:rFonts w:ascii="Arial" w:eastAsia="Times New Roman" w:hAnsi="Arial" w:cs="Arial"/>
                <w:color w:val="000000"/>
                <w:lang w:val="en-GB" w:eastAsia="fr-FR"/>
              </w:rPr>
              <w:t>ackground</w:t>
            </w:r>
          </w:p>
        </w:tc>
      </w:tr>
      <w:tr w:rsidR="007138B3" w:rsidRPr="00042EE5" w:rsidTr="007138B3">
        <w:trPr>
          <w:cantSplit/>
          <w:trHeight w:val="570"/>
        </w:trPr>
        <w:tc>
          <w:tcPr>
            <w:tcW w:w="1079" w:type="dxa"/>
            <w:tcBorders>
              <w:top w:val="single" w:sz="8" w:space="0" w:color="auto"/>
              <w:left w:val="single" w:sz="8" w:space="0" w:color="auto"/>
              <w:bottom w:val="nil"/>
              <w:right w:val="nil"/>
            </w:tcBorders>
            <w:shd w:val="clear" w:color="auto" w:fill="auto"/>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Insert type</w:t>
            </w:r>
          </w:p>
        </w:tc>
        <w:tc>
          <w:tcPr>
            <w:tcW w:w="2031" w:type="dxa"/>
            <w:gridSpan w:val="2"/>
            <w:tcBorders>
              <w:top w:val="single" w:sz="8" w:space="0" w:color="auto"/>
              <w:left w:val="nil"/>
              <w:bottom w:val="nil"/>
              <w:right w:val="nil"/>
            </w:tcBorders>
            <w:shd w:val="clear" w:color="000000" w:fill="FFE699"/>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Background</w:t>
            </w:r>
          </w:p>
        </w:tc>
        <w:tc>
          <w:tcPr>
            <w:tcW w:w="1037" w:type="dxa"/>
            <w:tcBorders>
              <w:top w:val="single" w:sz="8" w:space="0" w:color="auto"/>
              <w:left w:val="nil"/>
              <w:bottom w:val="nil"/>
              <w:right w:val="nil"/>
            </w:tcBorders>
            <w:shd w:val="clear" w:color="000000" w:fill="FFE699"/>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Insert</w:t>
            </w:r>
          </w:p>
        </w:tc>
        <w:tc>
          <w:tcPr>
            <w:tcW w:w="1239" w:type="dxa"/>
            <w:tcBorders>
              <w:top w:val="single" w:sz="8" w:space="0" w:color="auto"/>
              <w:left w:val="nil"/>
              <w:bottom w:val="nil"/>
              <w:right w:val="nil"/>
            </w:tcBorders>
            <w:shd w:val="clear" w:color="000000" w:fill="FFE699"/>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Signal Difference</w:t>
            </w:r>
          </w:p>
        </w:tc>
        <w:tc>
          <w:tcPr>
            <w:tcW w:w="1913" w:type="dxa"/>
            <w:gridSpan w:val="2"/>
            <w:tcBorders>
              <w:top w:val="single" w:sz="8" w:space="0" w:color="auto"/>
              <w:left w:val="nil"/>
              <w:bottom w:val="nil"/>
              <w:right w:val="nil"/>
            </w:tcBorders>
            <w:shd w:val="clear" w:color="000000" w:fill="F8CBAD"/>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Background</w:t>
            </w:r>
          </w:p>
        </w:tc>
        <w:tc>
          <w:tcPr>
            <w:tcW w:w="958" w:type="dxa"/>
            <w:tcBorders>
              <w:top w:val="single" w:sz="8" w:space="0" w:color="auto"/>
              <w:left w:val="nil"/>
              <w:bottom w:val="nil"/>
              <w:right w:val="nil"/>
            </w:tcBorders>
            <w:shd w:val="clear" w:color="000000" w:fill="F8CBAD"/>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Pr>
                <w:rFonts w:ascii="Arial" w:eastAsia="Times New Roman" w:hAnsi="Arial" w:cs="Arial"/>
                <w:color w:val="000000"/>
                <w:lang w:val="en-GB" w:eastAsia="fr-FR"/>
              </w:rPr>
              <w:t>I</w:t>
            </w:r>
            <w:r w:rsidRPr="00042EE5">
              <w:rPr>
                <w:rFonts w:ascii="Arial" w:eastAsia="Times New Roman" w:hAnsi="Arial" w:cs="Arial"/>
                <w:color w:val="000000"/>
                <w:lang w:val="en-GB" w:eastAsia="fr-FR"/>
              </w:rPr>
              <w:t>nsert</w:t>
            </w:r>
          </w:p>
        </w:tc>
        <w:tc>
          <w:tcPr>
            <w:tcW w:w="1143" w:type="dxa"/>
            <w:tcBorders>
              <w:top w:val="single" w:sz="8" w:space="0" w:color="auto"/>
              <w:left w:val="nil"/>
              <w:bottom w:val="nil"/>
              <w:right w:val="single" w:sz="8" w:space="0" w:color="auto"/>
            </w:tcBorders>
            <w:shd w:val="clear" w:color="000000" w:fill="F8CBAD"/>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Signal Difference</w:t>
            </w:r>
          </w:p>
        </w:tc>
      </w:tr>
      <w:tr w:rsidR="007138B3" w:rsidRPr="00042EE5" w:rsidTr="007138B3">
        <w:trPr>
          <w:cantSplit/>
          <w:trHeight w:val="285"/>
        </w:trPr>
        <w:tc>
          <w:tcPr>
            <w:tcW w:w="1079" w:type="dxa"/>
            <w:tcBorders>
              <w:top w:val="nil"/>
              <w:left w:val="single" w:sz="8" w:space="0" w:color="auto"/>
              <w:bottom w:val="double" w:sz="6" w:space="0" w:color="auto"/>
              <w:right w:val="nil"/>
            </w:tcBorders>
            <w:shd w:val="clear" w:color="auto" w:fill="auto"/>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(mg/cm²)</w:t>
            </w:r>
          </w:p>
        </w:tc>
        <w:tc>
          <w:tcPr>
            <w:tcW w:w="1116" w:type="dxa"/>
            <w:tcBorders>
              <w:top w:val="nil"/>
              <w:left w:val="nil"/>
              <w:bottom w:val="double" w:sz="6" w:space="0" w:color="auto"/>
              <w:right w:val="nil"/>
            </w:tcBorders>
            <w:shd w:val="clear" w:color="000000" w:fill="FFE699"/>
            <w:vAlign w:val="center"/>
            <w:hideMark/>
          </w:tcPr>
          <w:p w:rsidR="007138B3" w:rsidRPr="00042EE5" w:rsidRDefault="007138B3" w:rsidP="007138B3">
            <w:pPr>
              <w:keepNext/>
              <w:keepLines/>
              <w:spacing w:after="0" w:line="240" w:lineRule="auto"/>
              <w:ind w:left="-16"/>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Mean</w:t>
            </w:r>
          </w:p>
        </w:tc>
        <w:tc>
          <w:tcPr>
            <w:tcW w:w="915" w:type="dxa"/>
            <w:tcBorders>
              <w:top w:val="nil"/>
              <w:left w:val="nil"/>
              <w:bottom w:val="double" w:sz="6" w:space="0" w:color="auto"/>
              <w:right w:val="nil"/>
            </w:tcBorders>
            <w:shd w:val="clear" w:color="000000" w:fill="FFE699"/>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STD</w:t>
            </w:r>
          </w:p>
        </w:tc>
        <w:tc>
          <w:tcPr>
            <w:tcW w:w="1037" w:type="dxa"/>
            <w:tcBorders>
              <w:top w:val="nil"/>
              <w:left w:val="nil"/>
              <w:bottom w:val="double" w:sz="6" w:space="0" w:color="auto"/>
              <w:right w:val="nil"/>
            </w:tcBorders>
            <w:shd w:val="clear" w:color="000000" w:fill="FFE699"/>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 </w:t>
            </w:r>
          </w:p>
        </w:tc>
        <w:tc>
          <w:tcPr>
            <w:tcW w:w="1239" w:type="dxa"/>
            <w:tcBorders>
              <w:top w:val="nil"/>
              <w:left w:val="nil"/>
              <w:bottom w:val="double" w:sz="6" w:space="0" w:color="auto"/>
              <w:right w:val="nil"/>
            </w:tcBorders>
            <w:shd w:val="clear" w:color="000000" w:fill="FFE699"/>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 </w:t>
            </w:r>
          </w:p>
        </w:tc>
        <w:tc>
          <w:tcPr>
            <w:tcW w:w="958" w:type="dxa"/>
            <w:tcBorders>
              <w:top w:val="nil"/>
              <w:left w:val="nil"/>
              <w:bottom w:val="double" w:sz="6" w:space="0" w:color="auto"/>
              <w:right w:val="nil"/>
            </w:tcBorders>
            <w:shd w:val="clear" w:color="000000" w:fill="F8CBAD"/>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Mean</w:t>
            </w:r>
          </w:p>
        </w:tc>
        <w:tc>
          <w:tcPr>
            <w:tcW w:w="955" w:type="dxa"/>
            <w:tcBorders>
              <w:top w:val="nil"/>
              <w:left w:val="nil"/>
              <w:bottom w:val="double" w:sz="6" w:space="0" w:color="auto"/>
              <w:right w:val="nil"/>
            </w:tcBorders>
            <w:shd w:val="clear" w:color="000000" w:fill="F8CBAD"/>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STD</w:t>
            </w:r>
          </w:p>
        </w:tc>
        <w:tc>
          <w:tcPr>
            <w:tcW w:w="958" w:type="dxa"/>
            <w:tcBorders>
              <w:top w:val="nil"/>
              <w:left w:val="nil"/>
              <w:bottom w:val="double" w:sz="6" w:space="0" w:color="auto"/>
              <w:right w:val="nil"/>
            </w:tcBorders>
            <w:shd w:val="clear" w:color="000000" w:fill="F8CBAD"/>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 </w:t>
            </w:r>
          </w:p>
        </w:tc>
        <w:tc>
          <w:tcPr>
            <w:tcW w:w="1143" w:type="dxa"/>
            <w:tcBorders>
              <w:top w:val="nil"/>
              <w:left w:val="nil"/>
              <w:bottom w:val="double" w:sz="6" w:space="0" w:color="auto"/>
              <w:right w:val="single" w:sz="8" w:space="0" w:color="auto"/>
            </w:tcBorders>
            <w:shd w:val="clear" w:color="000000" w:fill="F8CBAD"/>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 </w:t>
            </w:r>
          </w:p>
        </w:tc>
      </w:tr>
      <w:tr w:rsidR="007138B3" w:rsidRPr="00042EE5" w:rsidTr="007138B3">
        <w:trPr>
          <w:cantSplit/>
          <w:trHeight w:val="315"/>
        </w:trPr>
        <w:tc>
          <w:tcPr>
            <w:tcW w:w="1079" w:type="dxa"/>
            <w:tcBorders>
              <w:top w:val="nil"/>
              <w:left w:val="single" w:sz="8" w:space="0" w:color="auto"/>
              <w:bottom w:val="nil"/>
              <w:right w:val="nil"/>
            </w:tcBorders>
            <w:shd w:val="clear" w:color="auto" w:fill="auto"/>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0.25</w:t>
            </w:r>
          </w:p>
        </w:tc>
        <w:tc>
          <w:tcPr>
            <w:tcW w:w="1116" w:type="dxa"/>
            <w:tcBorders>
              <w:top w:val="nil"/>
              <w:left w:val="nil"/>
              <w:bottom w:val="nil"/>
              <w:right w:val="nil"/>
            </w:tcBorders>
            <w:shd w:val="clear" w:color="000000" w:fill="FFE699"/>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1998.6</w:t>
            </w:r>
          </w:p>
        </w:tc>
        <w:tc>
          <w:tcPr>
            <w:tcW w:w="915" w:type="dxa"/>
            <w:tcBorders>
              <w:top w:val="nil"/>
              <w:left w:val="nil"/>
              <w:bottom w:val="nil"/>
              <w:right w:val="nil"/>
            </w:tcBorders>
            <w:shd w:val="clear" w:color="000000" w:fill="FFE699"/>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10.3</w:t>
            </w:r>
          </w:p>
        </w:tc>
        <w:tc>
          <w:tcPr>
            <w:tcW w:w="1037" w:type="dxa"/>
            <w:tcBorders>
              <w:top w:val="nil"/>
              <w:left w:val="nil"/>
              <w:bottom w:val="nil"/>
              <w:right w:val="nil"/>
            </w:tcBorders>
            <w:shd w:val="clear" w:color="000000" w:fill="FFE699"/>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2004.3</w:t>
            </w:r>
          </w:p>
        </w:tc>
        <w:tc>
          <w:tcPr>
            <w:tcW w:w="1239" w:type="dxa"/>
            <w:tcBorders>
              <w:top w:val="nil"/>
              <w:left w:val="nil"/>
              <w:bottom w:val="nil"/>
              <w:right w:val="nil"/>
            </w:tcBorders>
            <w:shd w:val="clear" w:color="000000" w:fill="FFE699"/>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5.7</w:t>
            </w:r>
          </w:p>
        </w:tc>
        <w:tc>
          <w:tcPr>
            <w:tcW w:w="958" w:type="dxa"/>
            <w:tcBorders>
              <w:top w:val="nil"/>
              <w:left w:val="nil"/>
              <w:bottom w:val="nil"/>
              <w:right w:val="nil"/>
            </w:tcBorders>
            <w:shd w:val="clear" w:color="000000" w:fill="F8CBAD"/>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1999.6</w:t>
            </w:r>
          </w:p>
        </w:tc>
        <w:tc>
          <w:tcPr>
            <w:tcW w:w="955" w:type="dxa"/>
            <w:tcBorders>
              <w:top w:val="nil"/>
              <w:left w:val="nil"/>
              <w:bottom w:val="nil"/>
              <w:right w:val="nil"/>
            </w:tcBorders>
            <w:shd w:val="clear" w:color="000000" w:fill="F8CBAD"/>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11.5</w:t>
            </w:r>
          </w:p>
        </w:tc>
        <w:tc>
          <w:tcPr>
            <w:tcW w:w="958" w:type="dxa"/>
            <w:tcBorders>
              <w:top w:val="nil"/>
              <w:left w:val="nil"/>
              <w:bottom w:val="nil"/>
              <w:right w:val="nil"/>
            </w:tcBorders>
            <w:shd w:val="clear" w:color="000000" w:fill="F8CBAD"/>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2005.0</w:t>
            </w:r>
          </w:p>
        </w:tc>
        <w:tc>
          <w:tcPr>
            <w:tcW w:w="1143" w:type="dxa"/>
            <w:tcBorders>
              <w:top w:val="nil"/>
              <w:left w:val="nil"/>
              <w:bottom w:val="nil"/>
              <w:right w:val="single" w:sz="8" w:space="0" w:color="auto"/>
            </w:tcBorders>
            <w:shd w:val="clear" w:color="000000" w:fill="F8CBAD"/>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5.4</w:t>
            </w:r>
          </w:p>
        </w:tc>
      </w:tr>
      <w:tr w:rsidR="007138B3" w:rsidRPr="00042EE5" w:rsidTr="007138B3">
        <w:trPr>
          <w:cantSplit/>
          <w:trHeight w:val="300"/>
        </w:trPr>
        <w:tc>
          <w:tcPr>
            <w:tcW w:w="1079" w:type="dxa"/>
            <w:tcBorders>
              <w:top w:val="nil"/>
              <w:left w:val="single" w:sz="8" w:space="0" w:color="auto"/>
              <w:bottom w:val="nil"/>
              <w:right w:val="nil"/>
            </w:tcBorders>
            <w:shd w:val="clear" w:color="auto" w:fill="auto"/>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0.5</w:t>
            </w:r>
          </w:p>
        </w:tc>
        <w:tc>
          <w:tcPr>
            <w:tcW w:w="1116" w:type="dxa"/>
            <w:tcBorders>
              <w:top w:val="nil"/>
              <w:left w:val="nil"/>
              <w:bottom w:val="nil"/>
              <w:right w:val="nil"/>
            </w:tcBorders>
            <w:shd w:val="clear" w:color="000000" w:fill="FFE699"/>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1998.0</w:t>
            </w:r>
          </w:p>
        </w:tc>
        <w:tc>
          <w:tcPr>
            <w:tcW w:w="915" w:type="dxa"/>
            <w:tcBorders>
              <w:top w:val="nil"/>
              <w:left w:val="nil"/>
              <w:bottom w:val="nil"/>
              <w:right w:val="nil"/>
            </w:tcBorders>
            <w:shd w:val="clear" w:color="000000" w:fill="FFE699"/>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10.4</w:t>
            </w:r>
          </w:p>
        </w:tc>
        <w:tc>
          <w:tcPr>
            <w:tcW w:w="1037" w:type="dxa"/>
            <w:tcBorders>
              <w:top w:val="nil"/>
              <w:left w:val="nil"/>
              <w:bottom w:val="nil"/>
              <w:right w:val="nil"/>
            </w:tcBorders>
            <w:shd w:val="clear" w:color="000000" w:fill="FFE699"/>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2015.1</w:t>
            </w:r>
          </w:p>
        </w:tc>
        <w:tc>
          <w:tcPr>
            <w:tcW w:w="1239" w:type="dxa"/>
            <w:tcBorders>
              <w:top w:val="nil"/>
              <w:left w:val="nil"/>
              <w:bottom w:val="nil"/>
              <w:right w:val="nil"/>
            </w:tcBorders>
            <w:shd w:val="clear" w:color="000000" w:fill="FFE699"/>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17.2</w:t>
            </w:r>
          </w:p>
        </w:tc>
        <w:tc>
          <w:tcPr>
            <w:tcW w:w="958" w:type="dxa"/>
            <w:tcBorders>
              <w:top w:val="nil"/>
              <w:left w:val="nil"/>
              <w:bottom w:val="nil"/>
              <w:right w:val="nil"/>
            </w:tcBorders>
            <w:shd w:val="clear" w:color="000000" w:fill="F8CBAD"/>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1998.1</w:t>
            </w:r>
          </w:p>
        </w:tc>
        <w:tc>
          <w:tcPr>
            <w:tcW w:w="955" w:type="dxa"/>
            <w:tcBorders>
              <w:top w:val="nil"/>
              <w:left w:val="nil"/>
              <w:bottom w:val="nil"/>
              <w:right w:val="nil"/>
            </w:tcBorders>
            <w:shd w:val="clear" w:color="000000" w:fill="F8CBAD"/>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11.6</w:t>
            </w:r>
          </w:p>
        </w:tc>
        <w:tc>
          <w:tcPr>
            <w:tcW w:w="958" w:type="dxa"/>
            <w:tcBorders>
              <w:top w:val="nil"/>
              <w:left w:val="nil"/>
              <w:bottom w:val="nil"/>
              <w:right w:val="nil"/>
            </w:tcBorders>
            <w:shd w:val="clear" w:color="000000" w:fill="F8CBAD"/>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2013.2</w:t>
            </w:r>
          </w:p>
        </w:tc>
        <w:tc>
          <w:tcPr>
            <w:tcW w:w="1143" w:type="dxa"/>
            <w:tcBorders>
              <w:top w:val="nil"/>
              <w:left w:val="nil"/>
              <w:bottom w:val="nil"/>
              <w:right w:val="single" w:sz="8" w:space="0" w:color="auto"/>
            </w:tcBorders>
            <w:shd w:val="clear" w:color="000000" w:fill="F8CBAD"/>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15.1</w:t>
            </w:r>
          </w:p>
        </w:tc>
      </w:tr>
      <w:tr w:rsidR="007138B3" w:rsidRPr="00042EE5" w:rsidTr="007138B3">
        <w:trPr>
          <w:cantSplit/>
          <w:trHeight w:val="300"/>
        </w:trPr>
        <w:tc>
          <w:tcPr>
            <w:tcW w:w="1079" w:type="dxa"/>
            <w:tcBorders>
              <w:top w:val="nil"/>
              <w:left w:val="single" w:sz="8" w:space="0" w:color="auto"/>
              <w:bottom w:val="nil"/>
              <w:right w:val="nil"/>
            </w:tcBorders>
            <w:shd w:val="clear" w:color="auto" w:fill="auto"/>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1</w:t>
            </w:r>
          </w:p>
        </w:tc>
        <w:tc>
          <w:tcPr>
            <w:tcW w:w="1116" w:type="dxa"/>
            <w:tcBorders>
              <w:top w:val="nil"/>
              <w:left w:val="nil"/>
              <w:bottom w:val="nil"/>
              <w:right w:val="nil"/>
            </w:tcBorders>
            <w:shd w:val="clear" w:color="000000" w:fill="FFE699"/>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2000.3</w:t>
            </w:r>
          </w:p>
        </w:tc>
        <w:tc>
          <w:tcPr>
            <w:tcW w:w="915" w:type="dxa"/>
            <w:tcBorders>
              <w:top w:val="nil"/>
              <w:left w:val="nil"/>
              <w:bottom w:val="nil"/>
              <w:right w:val="nil"/>
            </w:tcBorders>
            <w:shd w:val="clear" w:color="000000" w:fill="FFE699"/>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10.5</w:t>
            </w:r>
          </w:p>
        </w:tc>
        <w:tc>
          <w:tcPr>
            <w:tcW w:w="1037" w:type="dxa"/>
            <w:tcBorders>
              <w:top w:val="nil"/>
              <w:left w:val="nil"/>
              <w:bottom w:val="nil"/>
              <w:right w:val="nil"/>
            </w:tcBorders>
            <w:shd w:val="clear" w:color="000000" w:fill="FFE699"/>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2031.3</w:t>
            </w:r>
          </w:p>
        </w:tc>
        <w:tc>
          <w:tcPr>
            <w:tcW w:w="1239" w:type="dxa"/>
            <w:tcBorders>
              <w:top w:val="nil"/>
              <w:left w:val="nil"/>
              <w:bottom w:val="nil"/>
              <w:right w:val="nil"/>
            </w:tcBorders>
            <w:shd w:val="clear" w:color="000000" w:fill="FFE699"/>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31.0</w:t>
            </w:r>
          </w:p>
        </w:tc>
        <w:tc>
          <w:tcPr>
            <w:tcW w:w="958" w:type="dxa"/>
            <w:tcBorders>
              <w:top w:val="nil"/>
              <w:left w:val="nil"/>
              <w:bottom w:val="nil"/>
              <w:right w:val="nil"/>
            </w:tcBorders>
            <w:shd w:val="clear" w:color="000000" w:fill="F8CBAD"/>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2006.1</w:t>
            </w:r>
          </w:p>
        </w:tc>
        <w:tc>
          <w:tcPr>
            <w:tcW w:w="955" w:type="dxa"/>
            <w:tcBorders>
              <w:top w:val="nil"/>
              <w:left w:val="nil"/>
              <w:bottom w:val="nil"/>
              <w:right w:val="nil"/>
            </w:tcBorders>
            <w:shd w:val="clear" w:color="000000" w:fill="F8CBAD"/>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11.6</w:t>
            </w:r>
          </w:p>
        </w:tc>
        <w:tc>
          <w:tcPr>
            <w:tcW w:w="958" w:type="dxa"/>
            <w:tcBorders>
              <w:top w:val="nil"/>
              <w:left w:val="nil"/>
              <w:bottom w:val="nil"/>
              <w:right w:val="nil"/>
            </w:tcBorders>
            <w:shd w:val="clear" w:color="000000" w:fill="F8CBAD"/>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2038.3</w:t>
            </w:r>
          </w:p>
        </w:tc>
        <w:tc>
          <w:tcPr>
            <w:tcW w:w="1143" w:type="dxa"/>
            <w:tcBorders>
              <w:top w:val="nil"/>
              <w:left w:val="nil"/>
              <w:bottom w:val="nil"/>
              <w:right w:val="single" w:sz="8" w:space="0" w:color="auto"/>
            </w:tcBorders>
            <w:shd w:val="clear" w:color="000000" w:fill="F8CBAD"/>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32.2</w:t>
            </w:r>
          </w:p>
        </w:tc>
      </w:tr>
      <w:tr w:rsidR="007138B3" w:rsidRPr="00042EE5" w:rsidTr="007138B3">
        <w:trPr>
          <w:cantSplit/>
          <w:trHeight w:val="300"/>
        </w:trPr>
        <w:tc>
          <w:tcPr>
            <w:tcW w:w="1079" w:type="dxa"/>
            <w:tcBorders>
              <w:top w:val="nil"/>
              <w:left w:val="single" w:sz="8" w:space="0" w:color="auto"/>
              <w:bottom w:val="single" w:sz="4" w:space="0" w:color="auto"/>
              <w:right w:val="nil"/>
            </w:tcBorders>
            <w:shd w:val="clear" w:color="auto" w:fill="auto"/>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2</w:t>
            </w:r>
          </w:p>
        </w:tc>
        <w:tc>
          <w:tcPr>
            <w:tcW w:w="1116" w:type="dxa"/>
            <w:tcBorders>
              <w:top w:val="nil"/>
              <w:left w:val="nil"/>
              <w:bottom w:val="single" w:sz="4" w:space="0" w:color="auto"/>
              <w:right w:val="nil"/>
            </w:tcBorders>
            <w:shd w:val="clear" w:color="000000" w:fill="FFE699"/>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1998.5</w:t>
            </w:r>
          </w:p>
        </w:tc>
        <w:tc>
          <w:tcPr>
            <w:tcW w:w="915" w:type="dxa"/>
            <w:tcBorders>
              <w:top w:val="nil"/>
              <w:left w:val="nil"/>
              <w:bottom w:val="single" w:sz="4" w:space="0" w:color="auto"/>
              <w:right w:val="nil"/>
            </w:tcBorders>
            <w:shd w:val="clear" w:color="000000" w:fill="FFE699"/>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10.2</w:t>
            </w:r>
          </w:p>
        </w:tc>
        <w:tc>
          <w:tcPr>
            <w:tcW w:w="1037" w:type="dxa"/>
            <w:tcBorders>
              <w:top w:val="nil"/>
              <w:left w:val="nil"/>
              <w:bottom w:val="single" w:sz="4" w:space="0" w:color="auto"/>
              <w:right w:val="nil"/>
            </w:tcBorders>
            <w:shd w:val="clear" w:color="000000" w:fill="FFE699"/>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2069.5</w:t>
            </w:r>
          </w:p>
        </w:tc>
        <w:tc>
          <w:tcPr>
            <w:tcW w:w="1239" w:type="dxa"/>
            <w:tcBorders>
              <w:top w:val="nil"/>
              <w:left w:val="nil"/>
              <w:bottom w:val="single" w:sz="4" w:space="0" w:color="auto"/>
              <w:right w:val="nil"/>
            </w:tcBorders>
            <w:shd w:val="clear" w:color="000000" w:fill="FFE699"/>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70.9</w:t>
            </w:r>
          </w:p>
        </w:tc>
        <w:tc>
          <w:tcPr>
            <w:tcW w:w="958" w:type="dxa"/>
            <w:tcBorders>
              <w:top w:val="nil"/>
              <w:left w:val="nil"/>
              <w:bottom w:val="single" w:sz="4" w:space="0" w:color="auto"/>
              <w:right w:val="nil"/>
            </w:tcBorders>
            <w:shd w:val="clear" w:color="000000" w:fill="F8CBAD"/>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2000.8</w:t>
            </w:r>
          </w:p>
        </w:tc>
        <w:tc>
          <w:tcPr>
            <w:tcW w:w="955" w:type="dxa"/>
            <w:tcBorders>
              <w:top w:val="nil"/>
              <w:left w:val="nil"/>
              <w:bottom w:val="single" w:sz="4" w:space="0" w:color="auto"/>
              <w:right w:val="nil"/>
            </w:tcBorders>
            <w:shd w:val="clear" w:color="000000" w:fill="F8CBAD"/>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11.6</w:t>
            </w:r>
          </w:p>
        </w:tc>
        <w:tc>
          <w:tcPr>
            <w:tcW w:w="958" w:type="dxa"/>
            <w:tcBorders>
              <w:top w:val="nil"/>
              <w:left w:val="nil"/>
              <w:bottom w:val="single" w:sz="4" w:space="0" w:color="auto"/>
              <w:right w:val="nil"/>
            </w:tcBorders>
            <w:shd w:val="clear" w:color="000000" w:fill="F8CBAD"/>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2068.9</w:t>
            </w:r>
          </w:p>
        </w:tc>
        <w:tc>
          <w:tcPr>
            <w:tcW w:w="1143" w:type="dxa"/>
            <w:tcBorders>
              <w:top w:val="nil"/>
              <w:left w:val="nil"/>
              <w:bottom w:val="single" w:sz="4" w:space="0" w:color="auto"/>
              <w:right w:val="single" w:sz="8" w:space="0" w:color="auto"/>
            </w:tcBorders>
            <w:shd w:val="clear" w:color="000000" w:fill="F8CBAD"/>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68.1</w:t>
            </w:r>
          </w:p>
        </w:tc>
      </w:tr>
      <w:tr w:rsidR="007138B3" w:rsidRPr="00042EE5" w:rsidTr="007138B3">
        <w:trPr>
          <w:cantSplit/>
          <w:trHeight w:val="315"/>
        </w:trPr>
        <w:tc>
          <w:tcPr>
            <w:tcW w:w="1079" w:type="dxa"/>
            <w:tcBorders>
              <w:top w:val="nil"/>
              <w:left w:val="single" w:sz="8" w:space="0" w:color="auto"/>
              <w:bottom w:val="single" w:sz="8" w:space="0" w:color="auto"/>
              <w:right w:val="nil"/>
            </w:tcBorders>
            <w:shd w:val="clear" w:color="auto" w:fill="auto"/>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Gland</w:t>
            </w:r>
          </w:p>
        </w:tc>
        <w:tc>
          <w:tcPr>
            <w:tcW w:w="1116" w:type="dxa"/>
            <w:tcBorders>
              <w:top w:val="nil"/>
              <w:left w:val="nil"/>
              <w:bottom w:val="single" w:sz="8" w:space="0" w:color="auto"/>
              <w:right w:val="nil"/>
            </w:tcBorders>
            <w:shd w:val="clear" w:color="000000" w:fill="FFE699"/>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1999.2</w:t>
            </w:r>
          </w:p>
        </w:tc>
        <w:tc>
          <w:tcPr>
            <w:tcW w:w="915" w:type="dxa"/>
            <w:tcBorders>
              <w:top w:val="nil"/>
              <w:left w:val="nil"/>
              <w:bottom w:val="single" w:sz="8" w:space="0" w:color="auto"/>
              <w:right w:val="nil"/>
            </w:tcBorders>
            <w:shd w:val="clear" w:color="000000" w:fill="FFE699"/>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10.3</w:t>
            </w:r>
          </w:p>
        </w:tc>
        <w:tc>
          <w:tcPr>
            <w:tcW w:w="1037" w:type="dxa"/>
            <w:tcBorders>
              <w:top w:val="nil"/>
              <w:left w:val="nil"/>
              <w:bottom w:val="single" w:sz="8" w:space="0" w:color="auto"/>
              <w:right w:val="nil"/>
            </w:tcBorders>
            <w:shd w:val="clear" w:color="000000" w:fill="FFE699"/>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2000.2</w:t>
            </w:r>
          </w:p>
        </w:tc>
        <w:tc>
          <w:tcPr>
            <w:tcW w:w="1239" w:type="dxa"/>
            <w:tcBorders>
              <w:top w:val="nil"/>
              <w:left w:val="nil"/>
              <w:bottom w:val="single" w:sz="8" w:space="0" w:color="auto"/>
              <w:right w:val="nil"/>
            </w:tcBorders>
            <w:shd w:val="clear" w:color="000000" w:fill="FFE699"/>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1.0</w:t>
            </w:r>
          </w:p>
        </w:tc>
        <w:tc>
          <w:tcPr>
            <w:tcW w:w="958" w:type="dxa"/>
            <w:tcBorders>
              <w:top w:val="nil"/>
              <w:left w:val="nil"/>
              <w:bottom w:val="single" w:sz="8" w:space="0" w:color="auto"/>
              <w:right w:val="nil"/>
            </w:tcBorders>
            <w:shd w:val="clear" w:color="000000" w:fill="F8CBAD"/>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1999.3</w:t>
            </w:r>
          </w:p>
        </w:tc>
        <w:tc>
          <w:tcPr>
            <w:tcW w:w="955" w:type="dxa"/>
            <w:tcBorders>
              <w:top w:val="nil"/>
              <w:left w:val="nil"/>
              <w:bottom w:val="single" w:sz="8" w:space="0" w:color="auto"/>
              <w:right w:val="nil"/>
            </w:tcBorders>
            <w:shd w:val="clear" w:color="000000" w:fill="F8CBAD"/>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11.6</w:t>
            </w:r>
          </w:p>
        </w:tc>
        <w:tc>
          <w:tcPr>
            <w:tcW w:w="958" w:type="dxa"/>
            <w:tcBorders>
              <w:top w:val="nil"/>
              <w:left w:val="nil"/>
              <w:bottom w:val="single" w:sz="8" w:space="0" w:color="auto"/>
              <w:right w:val="nil"/>
            </w:tcBorders>
            <w:shd w:val="clear" w:color="000000" w:fill="F8CBAD"/>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1999.7</w:t>
            </w:r>
          </w:p>
        </w:tc>
        <w:tc>
          <w:tcPr>
            <w:tcW w:w="1143" w:type="dxa"/>
            <w:tcBorders>
              <w:top w:val="nil"/>
              <w:left w:val="nil"/>
              <w:bottom w:val="single" w:sz="8" w:space="0" w:color="auto"/>
              <w:right w:val="single" w:sz="8" w:space="0" w:color="auto"/>
            </w:tcBorders>
            <w:shd w:val="clear" w:color="000000" w:fill="F8CBAD"/>
            <w:vAlign w:val="center"/>
            <w:hideMark/>
          </w:tcPr>
          <w:p w:rsidR="007138B3" w:rsidRPr="00042EE5" w:rsidRDefault="007138B3" w:rsidP="007138B3">
            <w:pPr>
              <w:keepNext/>
              <w:keepLines/>
              <w:spacing w:after="0" w:line="240" w:lineRule="auto"/>
              <w:jc w:val="center"/>
              <w:rPr>
                <w:rFonts w:ascii="Arial" w:eastAsia="Times New Roman" w:hAnsi="Arial" w:cs="Arial"/>
                <w:color w:val="000000"/>
                <w:lang w:val="en-GB" w:eastAsia="fr-FR"/>
              </w:rPr>
            </w:pPr>
            <w:r w:rsidRPr="00042EE5">
              <w:rPr>
                <w:rFonts w:ascii="Arial" w:eastAsia="Times New Roman" w:hAnsi="Arial" w:cs="Arial"/>
                <w:color w:val="000000"/>
                <w:lang w:val="en-GB" w:eastAsia="fr-FR"/>
              </w:rPr>
              <w:t>0.4</w:t>
            </w:r>
          </w:p>
        </w:tc>
      </w:tr>
    </w:tbl>
    <w:p w:rsidR="00E27059" w:rsidRDefault="00E27059" w:rsidP="00E27059">
      <w:pPr>
        <w:pStyle w:val="NormalWeb"/>
        <w:ind w:left="720"/>
        <w:jc w:val="both"/>
        <w:rPr>
          <w:rFonts w:ascii="Verdana" w:hAnsi="Verdana"/>
          <w:color w:val="808080" w:themeColor="background1" w:themeShade="80"/>
          <w:sz w:val="22"/>
          <w:szCs w:val="17"/>
          <w:lang w:val="en-GB"/>
        </w:rPr>
      </w:pPr>
    </w:p>
    <w:p w:rsidR="001377FE" w:rsidRPr="00F34E54" w:rsidRDefault="00042EE5" w:rsidP="00F34E54">
      <w:pPr>
        <w:pStyle w:val="NormalWeb"/>
        <w:numPr>
          <w:ilvl w:val="0"/>
          <w:numId w:val="3"/>
        </w:numPr>
        <w:jc w:val="both"/>
        <w:rPr>
          <w:rFonts w:ascii="Verdana" w:hAnsi="Verdana"/>
          <w:color w:val="808080" w:themeColor="background1" w:themeShade="80"/>
          <w:sz w:val="22"/>
          <w:szCs w:val="17"/>
          <w:lang w:val="en-GB"/>
        </w:rPr>
      </w:pPr>
      <w:r w:rsidRPr="00F34E54">
        <w:rPr>
          <w:rFonts w:ascii="Verdana" w:hAnsi="Verdana"/>
          <w:color w:val="808080" w:themeColor="background1" w:themeShade="80"/>
          <w:sz w:val="22"/>
          <w:szCs w:val="17"/>
          <w:lang w:val="en-GB"/>
        </w:rPr>
        <w:t>The different background levels are not significantly different from the nominal value of 2000</w:t>
      </w:r>
      <w:r w:rsidR="00ED746E" w:rsidRPr="00F34E54">
        <w:rPr>
          <w:rFonts w:ascii="Verdana" w:hAnsi="Verdana"/>
          <w:color w:val="808080" w:themeColor="background1" w:themeShade="80"/>
          <w:sz w:val="22"/>
          <w:szCs w:val="17"/>
          <w:lang w:val="en-GB"/>
        </w:rPr>
        <w:t xml:space="preserve">, whatever the background </w:t>
      </w:r>
    </w:p>
    <w:p w:rsidR="001377FE" w:rsidRPr="00F34E54" w:rsidRDefault="001377FE" w:rsidP="00F34E54">
      <w:pPr>
        <w:pStyle w:val="NormalWeb"/>
        <w:numPr>
          <w:ilvl w:val="0"/>
          <w:numId w:val="3"/>
        </w:numPr>
        <w:jc w:val="both"/>
        <w:rPr>
          <w:rFonts w:ascii="Verdana" w:hAnsi="Verdana"/>
          <w:color w:val="808080" w:themeColor="background1" w:themeShade="80"/>
          <w:sz w:val="22"/>
          <w:szCs w:val="17"/>
          <w:lang w:val="en-GB"/>
        </w:rPr>
      </w:pPr>
      <w:r w:rsidRPr="00F34E54">
        <w:rPr>
          <w:rFonts w:ascii="Verdana" w:hAnsi="Verdana"/>
          <w:color w:val="808080" w:themeColor="background1" w:themeShade="80"/>
          <w:sz w:val="22"/>
          <w:szCs w:val="17"/>
          <w:lang w:val="en-GB"/>
        </w:rPr>
        <w:t>The differences between the different backgrounds are not significantly different between the glandular half and the adipose half</w:t>
      </w:r>
    </w:p>
    <w:p w:rsidR="001377FE" w:rsidRPr="00F34E54" w:rsidRDefault="001377FE" w:rsidP="00F34E54">
      <w:pPr>
        <w:pStyle w:val="NormalWeb"/>
        <w:numPr>
          <w:ilvl w:val="0"/>
          <w:numId w:val="3"/>
        </w:numPr>
        <w:jc w:val="both"/>
        <w:rPr>
          <w:rFonts w:ascii="Verdana" w:hAnsi="Verdana"/>
          <w:color w:val="808080" w:themeColor="background1" w:themeShade="80"/>
          <w:sz w:val="22"/>
          <w:szCs w:val="17"/>
          <w:lang w:val="en-GB"/>
        </w:rPr>
      </w:pPr>
      <w:r w:rsidRPr="00F34E54">
        <w:rPr>
          <w:rFonts w:ascii="Verdana" w:hAnsi="Verdana"/>
          <w:color w:val="808080" w:themeColor="background1" w:themeShade="80"/>
          <w:sz w:val="22"/>
          <w:szCs w:val="17"/>
          <w:lang w:val="en-GB"/>
        </w:rPr>
        <w:t>The differences between image levels in the glandular inserts are not significantly different from their respective backgrounds in both halves</w:t>
      </w:r>
    </w:p>
    <w:p w:rsidR="001377FE" w:rsidRPr="00F34E54" w:rsidRDefault="001377FE" w:rsidP="00F34E54">
      <w:pPr>
        <w:pStyle w:val="NormalWeb"/>
        <w:numPr>
          <w:ilvl w:val="0"/>
          <w:numId w:val="3"/>
        </w:numPr>
        <w:jc w:val="both"/>
        <w:rPr>
          <w:rFonts w:ascii="Verdana" w:hAnsi="Verdana"/>
          <w:color w:val="808080" w:themeColor="background1" w:themeShade="80"/>
          <w:sz w:val="22"/>
          <w:szCs w:val="17"/>
          <w:lang w:val="en-GB"/>
        </w:rPr>
      </w:pPr>
      <w:r w:rsidRPr="00F34E54">
        <w:rPr>
          <w:rFonts w:ascii="Verdana" w:hAnsi="Verdana"/>
          <w:color w:val="808080" w:themeColor="background1" w:themeShade="80"/>
          <w:sz w:val="22"/>
          <w:szCs w:val="17"/>
          <w:lang w:val="en-GB"/>
        </w:rPr>
        <w:t xml:space="preserve">The signal differences in the most diluted iodinated inserts (0.25 cm²/g) are about </w:t>
      </w:r>
      <w:r w:rsidR="009A3DAB" w:rsidRPr="00F34E54">
        <w:rPr>
          <w:rFonts w:ascii="Verdana" w:hAnsi="Verdana"/>
          <w:color w:val="808080" w:themeColor="background1" w:themeShade="80"/>
          <w:sz w:val="22"/>
          <w:szCs w:val="17"/>
          <w:lang w:val="en-GB"/>
        </w:rPr>
        <w:t>one-half</w:t>
      </w:r>
      <w:r w:rsidRPr="00F34E54">
        <w:rPr>
          <w:rFonts w:ascii="Verdana" w:hAnsi="Verdana"/>
          <w:color w:val="808080" w:themeColor="background1" w:themeShade="80"/>
          <w:sz w:val="22"/>
          <w:szCs w:val="17"/>
          <w:lang w:val="en-GB"/>
        </w:rPr>
        <w:t xml:space="preserve"> standard deviation; all other concentrations are 1.5 to 7 times the standard deviation</w:t>
      </w:r>
    </w:p>
    <w:p w:rsidR="008A3E67" w:rsidRPr="00F34E54" w:rsidRDefault="001377FE" w:rsidP="00F34E54">
      <w:pPr>
        <w:pStyle w:val="NormalWeb"/>
        <w:numPr>
          <w:ilvl w:val="0"/>
          <w:numId w:val="3"/>
        </w:numPr>
        <w:jc w:val="both"/>
        <w:rPr>
          <w:rFonts w:ascii="Verdana" w:hAnsi="Verdana"/>
          <w:color w:val="808080" w:themeColor="background1" w:themeShade="80"/>
          <w:sz w:val="22"/>
          <w:szCs w:val="17"/>
          <w:lang w:val="en-GB"/>
        </w:rPr>
      </w:pPr>
      <w:r w:rsidRPr="00F34E54">
        <w:rPr>
          <w:rFonts w:ascii="Verdana" w:hAnsi="Verdana"/>
          <w:color w:val="808080" w:themeColor="background1" w:themeShade="80"/>
          <w:sz w:val="22"/>
          <w:szCs w:val="17"/>
          <w:lang w:val="en-GB"/>
        </w:rPr>
        <w:t xml:space="preserve">For a given concentration, the signal differences in iodinated inserts are not significantly different </w:t>
      </w:r>
      <w:r w:rsidR="008A3E67" w:rsidRPr="00F34E54">
        <w:rPr>
          <w:rFonts w:ascii="Verdana" w:hAnsi="Verdana"/>
          <w:color w:val="808080" w:themeColor="background1" w:themeShade="80"/>
          <w:sz w:val="22"/>
          <w:szCs w:val="17"/>
          <w:lang w:val="en-GB"/>
        </w:rPr>
        <w:t>between the two halves</w:t>
      </w:r>
    </w:p>
    <w:p w:rsidR="00CD21AA" w:rsidRDefault="00CD21AA" w:rsidP="00F34E54">
      <w:pPr>
        <w:pStyle w:val="NormalWeb"/>
        <w:numPr>
          <w:ilvl w:val="0"/>
          <w:numId w:val="3"/>
        </w:numPr>
        <w:jc w:val="both"/>
        <w:rPr>
          <w:rFonts w:ascii="Verdana" w:hAnsi="Verdana"/>
          <w:color w:val="808080" w:themeColor="background1" w:themeShade="80"/>
          <w:sz w:val="22"/>
          <w:szCs w:val="17"/>
          <w:lang w:val="en-GB"/>
        </w:rPr>
      </w:pPr>
      <w:r w:rsidRPr="00F34E54">
        <w:rPr>
          <w:rFonts w:ascii="Verdana" w:hAnsi="Verdana"/>
          <w:color w:val="808080" w:themeColor="background1" w:themeShade="80"/>
          <w:sz w:val="22"/>
          <w:szCs w:val="17"/>
          <w:lang w:val="en-GB"/>
        </w:rPr>
        <w:t xml:space="preserve">The </w:t>
      </w:r>
      <w:r w:rsidR="008A3E67" w:rsidRPr="00F34E54">
        <w:rPr>
          <w:rFonts w:ascii="Verdana" w:hAnsi="Verdana"/>
          <w:color w:val="808080" w:themeColor="background1" w:themeShade="80"/>
          <w:sz w:val="22"/>
          <w:szCs w:val="17"/>
          <w:lang w:val="en-GB"/>
        </w:rPr>
        <w:t xml:space="preserve">signal </w:t>
      </w:r>
      <w:r w:rsidRPr="00F34E54">
        <w:rPr>
          <w:rFonts w:ascii="Verdana" w:hAnsi="Verdana"/>
          <w:color w:val="808080" w:themeColor="background1" w:themeShade="80"/>
          <w:sz w:val="22"/>
          <w:szCs w:val="17"/>
          <w:lang w:val="en-GB"/>
        </w:rPr>
        <w:t>differences between the iodinated inserts and the background are linear with the nominal iodine concentrations (R² &gt; 0.999)</w:t>
      </w:r>
      <w:r w:rsidR="00DC5DD1">
        <w:rPr>
          <w:rFonts w:ascii="Verdana" w:hAnsi="Verdana"/>
          <w:color w:val="808080" w:themeColor="background1" w:themeShade="80"/>
          <w:sz w:val="22"/>
          <w:szCs w:val="17"/>
          <w:lang w:val="en-GB"/>
        </w:rPr>
        <w:t xml:space="preserve"> (figure 9</w:t>
      </w:r>
      <w:r w:rsidR="007138B3" w:rsidRPr="00F34E54">
        <w:rPr>
          <w:rFonts w:ascii="Verdana" w:hAnsi="Verdana"/>
          <w:color w:val="808080" w:themeColor="background1" w:themeShade="80"/>
          <w:sz w:val="22"/>
          <w:szCs w:val="17"/>
          <w:lang w:val="en-GB"/>
        </w:rPr>
        <w:t xml:space="preserve">). </w:t>
      </w:r>
      <w:r w:rsidR="009A3DAB" w:rsidRPr="00F34E54">
        <w:rPr>
          <w:rFonts w:ascii="Verdana" w:hAnsi="Verdana"/>
          <w:color w:val="808080" w:themeColor="background1" w:themeShade="80"/>
          <w:sz w:val="22"/>
          <w:szCs w:val="17"/>
          <w:lang w:val="en-GB"/>
        </w:rPr>
        <w:t>The linear relations between signal differences and iodine concentrations are</w:t>
      </w:r>
      <w:r w:rsidRPr="00F34E54">
        <w:rPr>
          <w:rFonts w:ascii="Verdana" w:hAnsi="Verdana"/>
          <w:color w:val="808080" w:themeColor="background1" w:themeShade="80"/>
          <w:sz w:val="22"/>
          <w:szCs w:val="17"/>
          <w:lang w:val="en-GB"/>
        </w:rPr>
        <w:t xml:space="preserve"> not significantly differ</w:t>
      </w:r>
      <w:r w:rsidR="00973359" w:rsidRPr="00F34E54">
        <w:rPr>
          <w:rFonts w:ascii="Verdana" w:hAnsi="Verdana"/>
          <w:color w:val="808080" w:themeColor="background1" w:themeShade="80"/>
          <w:sz w:val="22"/>
          <w:szCs w:val="17"/>
          <w:lang w:val="en-GB"/>
        </w:rPr>
        <w:t xml:space="preserve">ent </w:t>
      </w:r>
      <w:r w:rsidR="008A3E67" w:rsidRPr="00F34E54">
        <w:rPr>
          <w:rFonts w:ascii="Verdana" w:hAnsi="Verdana"/>
          <w:color w:val="808080" w:themeColor="background1" w:themeShade="80"/>
          <w:sz w:val="22"/>
          <w:szCs w:val="17"/>
          <w:lang w:val="en-GB"/>
        </w:rPr>
        <w:t>over adipose or glandular background</w:t>
      </w:r>
      <w:r w:rsidR="009A3DAB" w:rsidRPr="00F34E54">
        <w:rPr>
          <w:rFonts w:ascii="Verdana" w:hAnsi="Verdana"/>
          <w:color w:val="808080" w:themeColor="background1" w:themeShade="80"/>
          <w:sz w:val="22"/>
          <w:szCs w:val="17"/>
          <w:lang w:val="en-GB"/>
        </w:rPr>
        <w:t>s</w:t>
      </w:r>
    </w:p>
    <w:p w:rsidR="00F34E54" w:rsidRDefault="00F34E54" w:rsidP="00F34E54">
      <w:pPr>
        <w:pStyle w:val="NormalWeb"/>
        <w:jc w:val="both"/>
        <w:rPr>
          <w:rFonts w:ascii="Verdana" w:hAnsi="Verdana"/>
          <w:color w:val="808080" w:themeColor="background1" w:themeShade="80"/>
          <w:sz w:val="22"/>
          <w:szCs w:val="17"/>
          <w:lang w:val="en-GB"/>
        </w:rPr>
      </w:pPr>
    </w:p>
    <w:p w:rsidR="00F34E54" w:rsidRPr="00F34E54" w:rsidRDefault="00F34E54" w:rsidP="00F34E54">
      <w:pPr>
        <w:pStyle w:val="NormalWeb"/>
        <w:jc w:val="both"/>
        <w:rPr>
          <w:rFonts w:ascii="Verdana" w:hAnsi="Verdana"/>
          <w:color w:val="808080" w:themeColor="background1" w:themeShade="80"/>
          <w:sz w:val="22"/>
          <w:szCs w:val="17"/>
          <w:lang w:val="en-GB"/>
        </w:rPr>
      </w:pPr>
    </w:p>
    <w:p w:rsidR="00CD21AA" w:rsidRDefault="007138B3" w:rsidP="007138B3">
      <w:pPr>
        <w:pStyle w:val="NormalWeb"/>
        <w:jc w:val="center"/>
        <w:rPr>
          <w:rFonts w:ascii="Verdana" w:hAnsi="Verdana"/>
          <w:color w:val="000000"/>
          <w:sz w:val="17"/>
          <w:szCs w:val="17"/>
          <w:lang w:val="en-GB"/>
        </w:rPr>
      </w:pPr>
      <w:r>
        <w:rPr>
          <w:rFonts w:ascii="Verdana" w:hAnsi="Verdana"/>
          <w:noProof/>
          <w:color w:val="000000"/>
          <w:sz w:val="17"/>
          <w:szCs w:val="17"/>
          <w:lang w:val="en-GB"/>
        </w:rPr>
        <w:lastRenderedPageBreak/>
        <w:drawing>
          <wp:inline distT="0" distB="0" distL="0" distR="0" wp14:anchorId="2BA094BF">
            <wp:extent cx="4058348" cy="29396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67495" cy="2946316"/>
                    </a:xfrm>
                    <a:prstGeom prst="rect">
                      <a:avLst/>
                    </a:prstGeom>
                    <a:noFill/>
                  </pic:spPr>
                </pic:pic>
              </a:graphicData>
            </a:graphic>
          </wp:inline>
        </w:drawing>
      </w:r>
    </w:p>
    <w:p w:rsidR="007138B3" w:rsidRPr="007138B3" w:rsidRDefault="007138B3" w:rsidP="007138B3">
      <w:pPr>
        <w:pStyle w:val="NormalWeb"/>
        <w:ind w:left="851" w:right="850"/>
        <w:jc w:val="center"/>
        <w:rPr>
          <w:rFonts w:ascii="Verdana" w:hAnsi="Verdana"/>
          <w:color w:val="000000"/>
          <w:sz w:val="20"/>
          <w:szCs w:val="17"/>
          <w:lang w:val="en-GB"/>
        </w:rPr>
      </w:pPr>
      <w:r w:rsidRPr="007138B3">
        <w:rPr>
          <w:rFonts w:ascii="Verdana" w:hAnsi="Verdana"/>
          <w:b/>
          <w:color w:val="000000"/>
          <w:sz w:val="20"/>
          <w:szCs w:val="17"/>
          <w:lang w:val="en-GB"/>
        </w:rPr>
        <w:t xml:space="preserve">Fig. </w:t>
      </w:r>
      <w:r w:rsidR="00DC5DD1">
        <w:rPr>
          <w:rFonts w:ascii="Verdana" w:hAnsi="Verdana"/>
          <w:b/>
          <w:color w:val="000000"/>
          <w:sz w:val="20"/>
          <w:szCs w:val="17"/>
          <w:lang w:val="en-GB"/>
        </w:rPr>
        <w:t>9</w:t>
      </w:r>
      <w:r w:rsidRPr="007138B3">
        <w:rPr>
          <w:rFonts w:ascii="Verdana" w:hAnsi="Verdana"/>
          <w:b/>
          <w:color w:val="000000"/>
          <w:sz w:val="20"/>
          <w:szCs w:val="17"/>
          <w:lang w:val="en-GB"/>
        </w:rPr>
        <w:t>:</w:t>
      </w:r>
      <w:r w:rsidRPr="007138B3">
        <w:rPr>
          <w:rFonts w:ascii="Verdana" w:hAnsi="Verdana"/>
          <w:color w:val="000000"/>
          <w:sz w:val="20"/>
          <w:szCs w:val="17"/>
          <w:lang w:val="en-GB"/>
        </w:rPr>
        <w:t xml:space="preserve"> Variation of signal differences with iodine concentration on the two halves of the phantom</w:t>
      </w:r>
    </w:p>
    <w:p w:rsidR="00CD21AA" w:rsidRPr="00AD6D36" w:rsidRDefault="00CD21AA" w:rsidP="004074C8">
      <w:pPr>
        <w:spacing w:after="0" w:line="240" w:lineRule="auto"/>
        <w:rPr>
          <w:rFonts w:ascii="Verdana" w:eastAsia="Times New Roman" w:hAnsi="Verdana" w:cs="Times New Roman"/>
          <w:b/>
          <w:sz w:val="24"/>
          <w:szCs w:val="24"/>
          <w:lang w:val="en-GB" w:eastAsia="fr-FR"/>
        </w:rPr>
      </w:pPr>
      <w:r w:rsidRPr="00AD6D36">
        <w:rPr>
          <w:rFonts w:ascii="Verdana" w:eastAsia="Times New Roman" w:hAnsi="Verdana" w:cs="Times New Roman"/>
          <w:b/>
          <w:sz w:val="24"/>
          <w:szCs w:val="24"/>
          <w:lang w:val="en-GB" w:eastAsia="fr-FR"/>
        </w:rPr>
        <w:t xml:space="preserve">Conclusion </w:t>
      </w:r>
    </w:p>
    <w:p w:rsidR="00F34E54" w:rsidRPr="00F34E54" w:rsidRDefault="00F34E54" w:rsidP="00F34E54">
      <w:pPr>
        <w:spacing w:after="0" w:line="240" w:lineRule="auto"/>
        <w:rPr>
          <w:rFonts w:ascii="Verdana" w:eastAsia="Times New Roman" w:hAnsi="Verdana" w:cs="Times New Roman"/>
          <w:sz w:val="24"/>
          <w:szCs w:val="24"/>
          <w:lang w:val="en-GB" w:eastAsia="fr-FR"/>
        </w:rPr>
      </w:pPr>
    </w:p>
    <w:p w:rsidR="00D433F1" w:rsidRDefault="00D433F1" w:rsidP="00D433F1">
      <w:pPr>
        <w:jc w:val="both"/>
        <w:rPr>
          <w:rFonts w:ascii="Verdana" w:hAnsi="Verdana"/>
          <w:lang w:val="en-GB"/>
        </w:rPr>
      </w:pPr>
      <w:r>
        <w:rPr>
          <w:rFonts w:ascii="Verdana" w:hAnsi="Verdana"/>
          <w:lang w:val="en-GB"/>
        </w:rPr>
        <w:t xml:space="preserve">The goal </w:t>
      </w:r>
      <w:r w:rsidRPr="00D433F1">
        <w:rPr>
          <w:rFonts w:ascii="Verdana" w:hAnsi="Verdana"/>
          <w:lang w:val="en-GB"/>
        </w:rPr>
        <w:t>for this work was to define a simple comprehensive phantom for CESM containing both clinical iodine concentrations and important breast density differences</w:t>
      </w:r>
      <w:r>
        <w:rPr>
          <w:rFonts w:ascii="Verdana" w:hAnsi="Verdana"/>
          <w:lang w:val="en-GB"/>
        </w:rPr>
        <w:t>. Performing CESM images of this phantom periodically or even before each session should demonstrate to users the nominal operation of the equipment.</w:t>
      </w:r>
    </w:p>
    <w:p w:rsidR="00D433F1" w:rsidRDefault="00D433F1" w:rsidP="00D433F1">
      <w:pPr>
        <w:jc w:val="both"/>
        <w:rPr>
          <w:rFonts w:ascii="Verdana" w:hAnsi="Verdana"/>
          <w:color w:val="808080"/>
          <w:lang w:val="en-GB"/>
        </w:rPr>
      </w:pPr>
      <w:r>
        <w:rPr>
          <w:rFonts w:ascii="Verdana" w:hAnsi="Verdana"/>
          <w:lang w:val="en-GB"/>
        </w:rPr>
        <w:t xml:space="preserve">A design has been proposed, a prototype was built according to specifications, and the CESM images obtained from it demonstrate the expected results. Further quantitative analysis </w:t>
      </w:r>
      <w:r>
        <w:rPr>
          <w:rFonts w:ascii="Verdana" w:hAnsi="Verdana"/>
          <w:color w:val="808080"/>
          <w:lang w:val="en-GB"/>
        </w:rPr>
        <w:t xml:space="preserve">confirmed the visual assessment and could be used for constancy testing. </w:t>
      </w:r>
    </w:p>
    <w:p w:rsidR="00ED746E" w:rsidRPr="00A808E1" w:rsidRDefault="00A808E1" w:rsidP="00ED746E">
      <w:pPr>
        <w:rPr>
          <w:b/>
          <w:bCs/>
          <w:sz w:val="29"/>
          <w:szCs w:val="29"/>
          <w:lang w:val="en-GB"/>
        </w:rPr>
      </w:pPr>
      <w:r w:rsidRPr="00A808E1">
        <w:rPr>
          <w:b/>
          <w:bCs/>
          <w:sz w:val="29"/>
          <w:szCs w:val="29"/>
          <w:lang w:val="en-GB"/>
        </w:rPr>
        <w:t>Section:</w:t>
      </w:r>
      <w:r w:rsidR="00ED746E" w:rsidRPr="00A808E1">
        <w:rPr>
          <w:b/>
          <w:bCs/>
          <w:sz w:val="29"/>
          <w:szCs w:val="29"/>
          <w:lang w:val="en-GB"/>
        </w:rPr>
        <w:t xml:space="preserve"> Personal information</w:t>
      </w:r>
    </w:p>
    <w:tbl>
      <w:tblPr>
        <w:tblW w:w="0" w:type="auto"/>
        <w:tblCellSpacing w:w="0" w:type="dxa"/>
        <w:tblCellMar>
          <w:left w:w="0" w:type="dxa"/>
          <w:right w:w="0" w:type="dxa"/>
        </w:tblCellMar>
        <w:tblLook w:val="04A0" w:firstRow="1" w:lastRow="0" w:firstColumn="1" w:lastColumn="0" w:noHBand="0" w:noVBand="1"/>
      </w:tblPr>
      <w:tblGrid>
        <w:gridCol w:w="6607"/>
      </w:tblGrid>
      <w:tr w:rsidR="00ED746E" w:rsidRPr="00ED746E" w:rsidTr="00ED746E">
        <w:trPr>
          <w:tblCellSpacing w:w="0" w:type="dxa"/>
        </w:trPr>
        <w:tc>
          <w:tcPr>
            <w:tcW w:w="0" w:type="auto"/>
            <w:vAlign w:val="center"/>
            <w:hideMark/>
          </w:tcPr>
          <w:p w:rsidR="00ED746E" w:rsidRPr="00ED746E" w:rsidRDefault="00ED746E" w:rsidP="00ED746E">
            <w:pPr>
              <w:pStyle w:val="NormalWeb"/>
              <w:rPr>
                <w:rFonts w:ascii="Verdana" w:hAnsi="Verdana"/>
                <w:sz w:val="22"/>
                <w:lang w:val="en-US"/>
              </w:rPr>
            </w:pPr>
            <w:r w:rsidRPr="00ED746E">
              <w:rPr>
                <w:rFonts w:ascii="Verdana" w:hAnsi="Verdana"/>
                <w:sz w:val="22"/>
                <w:lang w:val="en-US"/>
              </w:rPr>
              <w:t>All authors are employees of GE Healthcare</w:t>
            </w:r>
          </w:p>
          <w:p w:rsidR="00ED746E" w:rsidRPr="00ED746E" w:rsidRDefault="00ED746E" w:rsidP="00ED746E">
            <w:pPr>
              <w:pStyle w:val="NormalWeb"/>
              <w:rPr>
                <w:rFonts w:ascii="Verdana" w:hAnsi="Verdana"/>
                <w:sz w:val="22"/>
                <w:lang w:val="en-US"/>
              </w:rPr>
            </w:pPr>
            <w:r w:rsidRPr="00ED746E">
              <w:rPr>
                <w:rFonts w:ascii="Verdana" w:hAnsi="Verdana"/>
                <w:sz w:val="22"/>
                <w:lang w:val="en-US"/>
              </w:rPr>
              <w:t xml:space="preserve">Global Women's Health Engineering </w:t>
            </w:r>
            <w:r w:rsidRPr="00ED746E">
              <w:rPr>
                <w:rFonts w:ascii="Verdana" w:hAnsi="Verdana"/>
                <w:sz w:val="22"/>
                <w:lang w:val="en-US"/>
              </w:rPr>
              <w:br/>
              <w:t xml:space="preserve">283 rue de la </w:t>
            </w:r>
            <w:proofErr w:type="spellStart"/>
            <w:r w:rsidRPr="00ED746E">
              <w:rPr>
                <w:rFonts w:ascii="Verdana" w:hAnsi="Verdana"/>
                <w:sz w:val="22"/>
                <w:lang w:val="en-US"/>
              </w:rPr>
              <w:t>Miniere</w:t>
            </w:r>
            <w:proofErr w:type="spellEnd"/>
            <w:r w:rsidRPr="00ED746E">
              <w:rPr>
                <w:rFonts w:ascii="Verdana" w:hAnsi="Verdana"/>
                <w:sz w:val="22"/>
                <w:lang w:val="en-US"/>
              </w:rPr>
              <w:t xml:space="preserve"> </w:t>
            </w:r>
            <w:r w:rsidRPr="00ED746E">
              <w:rPr>
                <w:rFonts w:ascii="Verdana" w:hAnsi="Verdana"/>
                <w:sz w:val="22"/>
                <w:lang w:val="en-US"/>
              </w:rPr>
              <w:br/>
              <w:t>78530 Buc (FR)</w:t>
            </w:r>
          </w:p>
          <w:p w:rsidR="00ED746E" w:rsidRPr="00ED746E" w:rsidRDefault="00ED746E" w:rsidP="00ED746E">
            <w:pPr>
              <w:pStyle w:val="NormalWeb"/>
              <w:rPr>
                <w:rFonts w:ascii="Verdana" w:hAnsi="Verdana"/>
                <w:sz w:val="22"/>
                <w:lang w:val="en-US"/>
              </w:rPr>
            </w:pPr>
            <w:r w:rsidRPr="00ED746E">
              <w:rPr>
                <w:rFonts w:ascii="Verdana" w:hAnsi="Verdana"/>
                <w:sz w:val="22"/>
                <w:lang w:val="en-US"/>
              </w:rPr>
              <w:t> Rémy Klausz                     </w:t>
            </w:r>
            <w:r w:rsidRPr="00ED746E">
              <w:rPr>
                <w:rFonts w:ascii="Verdana" w:hAnsi="Verdana"/>
                <w:noProof/>
                <w:sz w:val="22"/>
              </w:rPr>
              <w:drawing>
                <wp:inline distT="0" distB="0" distL="0" distR="0">
                  <wp:extent cx="81915" cy="81915"/>
                  <wp:effectExtent l="0" t="0" r="0" b="0"/>
                  <wp:docPr id="11" name="Picture 11" descr="http://posterng.netkey.at/esr/submission/themes/default/images/externer-preview-l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sterng.netkey.at/esr/submission/themes/default/images/externer-preview-li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915" cy="81915"/>
                          </a:xfrm>
                          <a:prstGeom prst="rect">
                            <a:avLst/>
                          </a:prstGeom>
                          <a:noFill/>
                          <a:ln>
                            <a:noFill/>
                          </a:ln>
                        </pic:spPr>
                      </pic:pic>
                    </a:graphicData>
                  </a:graphic>
                </wp:inline>
              </w:drawing>
            </w:r>
            <w:hyperlink r:id="rId16" w:tgtFrame="_blank" w:history="1">
              <w:r w:rsidRPr="00ED746E">
                <w:rPr>
                  <w:rStyle w:val="Hyperlink"/>
                  <w:rFonts w:ascii="Verdana" w:hAnsi="Verdana"/>
                  <w:sz w:val="22"/>
                  <w:lang w:val="en-US"/>
                </w:rPr>
                <w:t>remy.klausz@ge.com</w:t>
              </w:r>
            </w:hyperlink>
          </w:p>
          <w:p w:rsidR="00ED746E" w:rsidRPr="00ED746E" w:rsidRDefault="00ED746E" w:rsidP="00ED746E">
            <w:pPr>
              <w:pStyle w:val="NormalWeb"/>
              <w:rPr>
                <w:rFonts w:ascii="Verdana" w:hAnsi="Verdana"/>
                <w:sz w:val="22"/>
                <w:lang w:val="en-US"/>
              </w:rPr>
            </w:pPr>
            <w:r w:rsidRPr="00ED746E">
              <w:rPr>
                <w:rFonts w:ascii="Verdana" w:hAnsi="Verdana"/>
                <w:sz w:val="22"/>
                <w:lang w:val="en-US"/>
              </w:rPr>
              <w:t> Marion Rouxel                    </w:t>
            </w:r>
            <w:r w:rsidRPr="00ED746E">
              <w:rPr>
                <w:rFonts w:ascii="Verdana" w:hAnsi="Verdana"/>
                <w:sz w:val="22"/>
                <w:u w:val="single"/>
                <w:lang w:val="en-US"/>
              </w:rPr>
              <w:t>marion.rouxel@ge.com</w:t>
            </w:r>
          </w:p>
          <w:p w:rsidR="00ED746E" w:rsidRPr="00ED746E" w:rsidRDefault="00ED746E" w:rsidP="00ED746E">
            <w:pPr>
              <w:pStyle w:val="NormalWeb"/>
              <w:rPr>
                <w:rFonts w:ascii="Verdana" w:hAnsi="Verdana"/>
                <w:sz w:val="22"/>
              </w:rPr>
            </w:pPr>
            <w:r w:rsidRPr="00ED746E">
              <w:rPr>
                <w:rFonts w:ascii="Verdana" w:hAnsi="Verdana"/>
                <w:sz w:val="22"/>
              </w:rPr>
              <w:t xml:space="preserve">Xavier Mancardi, PhD         </w:t>
            </w:r>
            <w:r w:rsidR="00415222">
              <w:rPr>
                <w:rFonts w:ascii="Verdana" w:hAnsi="Verdana"/>
                <w:sz w:val="22"/>
              </w:rPr>
              <w:t xml:space="preserve">  </w:t>
            </w:r>
            <w:r w:rsidRPr="00ED746E">
              <w:rPr>
                <w:rFonts w:ascii="Verdana" w:hAnsi="Verdana"/>
                <w:sz w:val="22"/>
                <w:u w:val="single"/>
              </w:rPr>
              <w:t>xavier.mancardi@ge.com</w:t>
            </w:r>
          </w:p>
          <w:p w:rsidR="00ED746E" w:rsidRPr="00ED746E" w:rsidRDefault="00ED746E" w:rsidP="00ED746E">
            <w:pPr>
              <w:pStyle w:val="NormalWeb"/>
              <w:rPr>
                <w:rFonts w:ascii="Verdana" w:hAnsi="Verdana"/>
                <w:sz w:val="22"/>
                <w:lang w:val="en-US"/>
              </w:rPr>
            </w:pPr>
            <w:r w:rsidRPr="00ED746E">
              <w:rPr>
                <w:rFonts w:ascii="Verdana" w:hAnsi="Verdana"/>
                <w:sz w:val="22"/>
                <w:lang w:val="en-US"/>
              </w:rPr>
              <w:t xml:space="preserve">Ann-Katherine Carton, </w:t>
            </w:r>
            <w:r w:rsidR="00415222" w:rsidRPr="00ED746E">
              <w:rPr>
                <w:rFonts w:ascii="Verdana" w:hAnsi="Verdana"/>
                <w:sz w:val="22"/>
                <w:lang w:val="en-US"/>
              </w:rPr>
              <w:t>PhD </w:t>
            </w:r>
            <w:r w:rsidR="00415222">
              <w:rPr>
                <w:rFonts w:ascii="Verdana" w:hAnsi="Verdana"/>
                <w:sz w:val="22"/>
                <w:lang w:val="en-US"/>
              </w:rPr>
              <w:t xml:space="preserve">  </w:t>
            </w:r>
            <w:r w:rsidR="00415222" w:rsidRPr="00415222">
              <w:rPr>
                <w:rFonts w:ascii="Verdana" w:hAnsi="Verdana"/>
                <w:sz w:val="22"/>
                <w:u w:val="single"/>
                <w:lang w:val="en-US"/>
              </w:rPr>
              <w:t>ann-katherine.carton@ge.com</w:t>
            </w:r>
          </w:p>
          <w:p w:rsidR="00ED746E" w:rsidRPr="00ED746E" w:rsidRDefault="00ED746E" w:rsidP="00ED746E">
            <w:pPr>
              <w:pStyle w:val="NormalWeb"/>
              <w:rPr>
                <w:rFonts w:ascii="Verdana" w:hAnsi="Verdana"/>
                <w:sz w:val="22"/>
              </w:rPr>
            </w:pPr>
            <w:r w:rsidRPr="00ED746E">
              <w:rPr>
                <w:rFonts w:ascii="Verdana" w:hAnsi="Verdana"/>
                <w:sz w:val="22"/>
              </w:rPr>
              <w:t xml:space="preserve">Fanny Patoureaux, PhD       </w:t>
            </w:r>
            <w:r w:rsidR="00415222">
              <w:rPr>
                <w:rFonts w:ascii="Verdana" w:hAnsi="Verdana"/>
                <w:sz w:val="22"/>
              </w:rPr>
              <w:t xml:space="preserve"> </w:t>
            </w:r>
            <w:r w:rsidRPr="00ED746E">
              <w:rPr>
                <w:rFonts w:ascii="Verdana" w:hAnsi="Verdana"/>
                <w:sz w:val="22"/>
                <w:u w:val="single"/>
              </w:rPr>
              <w:t>fanny.patoureaux@ge.com</w:t>
            </w:r>
          </w:p>
        </w:tc>
      </w:tr>
      <w:tr w:rsidR="00415222" w:rsidRPr="00ED746E" w:rsidTr="00ED746E">
        <w:trPr>
          <w:tblCellSpacing w:w="0" w:type="dxa"/>
        </w:trPr>
        <w:tc>
          <w:tcPr>
            <w:tcW w:w="0" w:type="auto"/>
            <w:vAlign w:val="center"/>
          </w:tcPr>
          <w:p w:rsidR="00415222" w:rsidRPr="00ED746E" w:rsidRDefault="00415222" w:rsidP="00ED746E">
            <w:pPr>
              <w:pStyle w:val="NormalWeb"/>
              <w:rPr>
                <w:rFonts w:ascii="Verdana" w:hAnsi="Verdana"/>
                <w:sz w:val="22"/>
                <w:lang w:val="en-US"/>
              </w:rPr>
            </w:pPr>
          </w:p>
        </w:tc>
      </w:tr>
    </w:tbl>
    <w:p w:rsidR="00CD21AA" w:rsidRPr="007553AD" w:rsidRDefault="00CD21AA" w:rsidP="001F796C">
      <w:pPr>
        <w:spacing w:after="0" w:line="240" w:lineRule="auto"/>
        <w:rPr>
          <w:rFonts w:ascii="Verdana" w:eastAsia="Times New Roman" w:hAnsi="Verdana" w:cs="Times New Roman"/>
          <w:sz w:val="24"/>
          <w:szCs w:val="24"/>
          <w:lang w:val="en-GB" w:eastAsia="fr-FR"/>
        </w:rPr>
      </w:pPr>
    </w:p>
    <w:p w:rsidR="001F796C" w:rsidRPr="007553AD" w:rsidRDefault="001F796C" w:rsidP="001F796C">
      <w:pPr>
        <w:spacing w:after="0" w:line="240" w:lineRule="auto"/>
        <w:rPr>
          <w:rFonts w:ascii="Times New Roman" w:eastAsia="Times New Roman" w:hAnsi="Times New Roman" w:cs="Times New Roman"/>
          <w:b/>
          <w:sz w:val="24"/>
          <w:szCs w:val="24"/>
          <w:lang w:val="en-GB" w:eastAsia="fr-FR"/>
        </w:rPr>
      </w:pPr>
      <w:r w:rsidRPr="007553AD">
        <w:rPr>
          <w:rFonts w:ascii="Times New Roman" w:eastAsia="Times New Roman" w:hAnsi="Times New Roman" w:cs="Times New Roman"/>
          <w:b/>
          <w:sz w:val="24"/>
          <w:szCs w:val="24"/>
          <w:lang w:val="en-GB" w:eastAsia="fr-FR"/>
        </w:rPr>
        <w:t xml:space="preserve">References  </w:t>
      </w:r>
    </w:p>
    <w:p w:rsidR="001F796C" w:rsidRPr="007553AD" w:rsidRDefault="001F796C" w:rsidP="004074C8">
      <w:pPr>
        <w:rPr>
          <w:rFonts w:ascii="Times New Roman" w:eastAsia="Times New Roman" w:hAnsi="Times New Roman" w:cs="Times New Roman"/>
          <w:sz w:val="24"/>
          <w:szCs w:val="24"/>
          <w:lang w:val="en-GB" w:eastAsia="fr-FR"/>
        </w:rPr>
      </w:pPr>
    </w:p>
    <w:p w:rsidR="001F796C" w:rsidRPr="007553AD" w:rsidRDefault="001F796C" w:rsidP="004074C8">
      <w:pPr>
        <w:rPr>
          <w:lang w:val="en-GB"/>
        </w:rPr>
      </w:pPr>
      <w:r w:rsidRPr="007553AD">
        <w:rPr>
          <w:rFonts w:ascii="Times New Roman" w:eastAsia="Times New Roman" w:hAnsi="Times New Roman" w:cs="Times New Roman"/>
          <w:sz w:val="24"/>
          <w:szCs w:val="24"/>
          <w:lang w:val="en-GB" w:eastAsia="fr-FR"/>
        </w:rPr>
        <w:t xml:space="preserve">[1] Roberta A. Jong, MD, Martin J. </w:t>
      </w:r>
      <w:proofErr w:type="spellStart"/>
      <w:r w:rsidRPr="007553AD">
        <w:rPr>
          <w:rFonts w:ascii="Times New Roman" w:eastAsia="Times New Roman" w:hAnsi="Times New Roman" w:cs="Times New Roman"/>
          <w:sz w:val="24"/>
          <w:szCs w:val="24"/>
          <w:lang w:val="en-GB" w:eastAsia="fr-FR"/>
        </w:rPr>
        <w:t>Yaffe</w:t>
      </w:r>
      <w:proofErr w:type="spellEnd"/>
      <w:r w:rsidRPr="007553AD">
        <w:rPr>
          <w:rFonts w:ascii="Times New Roman" w:eastAsia="Times New Roman" w:hAnsi="Times New Roman" w:cs="Times New Roman"/>
          <w:sz w:val="24"/>
          <w:szCs w:val="24"/>
          <w:lang w:val="en-GB" w:eastAsia="fr-FR"/>
        </w:rPr>
        <w:t>, PhD, et al.</w:t>
      </w:r>
      <w:r w:rsidRPr="007553AD">
        <w:rPr>
          <w:rFonts w:ascii="Times New Roman" w:eastAsia="Times New Roman" w:hAnsi="Times New Roman" w:cs="Times New Roman"/>
          <w:sz w:val="24"/>
          <w:szCs w:val="24"/>
          <w:lang w:val="en-GB" w:eastAsia="fr-FR"/>
        </w:rPr>
        <w:br/>
        <w:t>Contrast-enhanced Digital Mammography: Initial Clinical Experience</w:t>
      </w:r>
      <w:r w:rsidRPr="007553AD">
        <w:rPr>
          <w:rFonts w:ascii="Times New Roman" w:eastAsia="Times New Roman" w:hAnsi="Times New Roman" w:cs="Times New Roman"/>
          <w:sz w:val="24"/>
          <w:szCs w:val="24"/>
          <w:lang w:val="en-GB" w:eastAsia="fr-FR"/>
        </w:rPr>
        <w:br/>
        <w:t>Radiology (2003); 228:842–850</w:t>
      </w:r>
    </w:p>
    <w:p w:rsidR="00AC012B" w:rsidRPr="007553AD" w:rsidRDefault="00392CEC" w:rsidP="004074C8">
      <w:pPr>
        <w:rPr>
          <w:lang w:val="en-GB"/>
        </w:rPr>
      </w:pPr>
      <w:r w:rsidRPr="0084044C">
        <w:t>[</w:t>
      </w:r>
      <w:r w:rsidR="00AC012B" w:rsidRPr="0084044C">
        <w:t>2</w:t>
      </w:r>
      <w:r w:rsidRPr="0084044C">
        <w:t>]</w:t>
      </w:r>
      <w:r w:rsidR="00AC012B" w:rsidRPr="0084044C">
        <w:t xml:space="preserve"> Clarisse </w:t>
      </w:r>
      <w:proofErr w:type="spellStart"/>
      <w:r w:rsidR="00AC012B" w:rsidRPr="0084044C">
        <w:t>Dromain</w:t>
      </w:r>
      <w:proofErr w:type="spellEnd"/>
      <w:r w:rsidR="00AC012B" w:rsidRPr="0084044C">
        <w:t>, Fabienne Thibault, Serge Muller et al.</w:t>
      </w:r>
      <w:r w:rsidR="00AC012B" w:rsidRPr="0084044C">
        <w:br/>
      </w:r>
      <w:r w:rsidR="00AC012B" w:rsidRPr="007553AD">
        <w:rPr>
          <w:lang w:val="en-GB"/>
        </w:rPr>
        <w:t>Dual-energy contrast-enhanced digital mammography : initial clinical results</w:t>
      </w:r>
      <w:r w:rsidR="00AC012B" w:rsidRPr="007553AD">
        <w:rPr>
          <w:lang w:val="en-GB"/>
        </w:rPr>
        <w:br/>
      </w:r>
      <w:proofErr w:type="spellStart"/>
      <w:r w:rsidR="00AC012B" w:rsidRPr="007553AD">
        <w:rPr>
          <w:lang w:val="en-GB"/>
        </w:rPr>
        <w:t>Eur</w:t>
      </w:r>
      <w:proofErr w:type="spellEnd"/>
      <w:r w:rsidR="00AC012B" w:rsidRPr="007553AD">
        <w:rPr>
          <w:lang w:val="en-GB"/>
        </w:rPr>
        <w:t xml:space="preserve"> </w:t>
      </w:r>
      <w:proofErr w:type="spellStart"/>
      <w:r w:rsidR="00AC012B" w:rsidRPr="007553AD">
        <w:rPr>
          <w:lang w:val="en-GB"/>
        </w:rPr>
        <w:t>Radiol</w:t>
      </w:r>
      <w:proofErr w:type="spellEnd"/>
      <w:r w:rsidR="00AC012B" w:rsidRPr="007553AD">
        <w:rPr>
          <w:lang w:val="en-GB"/>
        </w:rPr>
        <w:t xml:space="preserve"> (2011) </w:t>
      </w:r>
      <w:proofErr w:type="gramStart"/>
      <w:r w:rsidR="00AC012B" w:rsidRPr="007553AD">
        <w:rPr>
          <w:lang w:val="en-GB"/>
        </w:rPr>
        <w:t>21:</w:t>
      </w:r>
      <w:proofErr w:type="gramEnd"/>
      <w:r w:rsidR="00AC012B" w:rsidRPr="007553AD">
        <w:rPr>
          <w:lang w:val="en-GB"/>
        </w:rPr>
        <w:t>565–574</w:t>
      </w:r>
    </w:p>
    <w:p w:rsidR="00030E18" w:rsidRPr="007553AD" w:rsidRDefault="00030E18" w:rsidP="00030E18">
      <w:pPr>
        <w:rPr>
          <w:lang w:val="en-GB"/>
        </w:rPr>
      </w:pPr>
      <w:r w:rsidRPr="007553AD">
        <w:rPr>
          <w:lang w:val="en-GB"/>
        </w:rPr>
        <w:t xml:space="preserve">[3] </w:t>
      </w:r>
      <w:proofErr w:type="spellStart"/>
      <w:r w:rsidRPr="007553AD">
        <w:rPr>
          <w:lang w:val="en-GB"/>
        </w:rPr>
        <w:t>Oduko</w:t>
      </w:r>
      <w:proofErr w:type="spellEnd"/>
      <w:r w:rsidRPr="007553AD">
        <w:rPr>
          <w:lang w:val="en-GB"/>
        </w:rPr>
        <w:t xml:space="preserve"> J., </w:t>
      </w:r>
      <w:proofErr w:type="spellStart"/>
      <w:r w:rsidRPr="007553AD">
        <w:rPr>
          <w:lang w:val="en-GB"/>
        </w:rPr>
        <w:t>Homolka</w:t>
      </w:r>
      <w:proofErr w:type="spellEnd"/>
      <w:r w:rsidRPr="007553AD">
        <w:rPr>
          <w:lang w:val="en-GB"/>
        </w:rPr>
        <w:t xml:space="preserve"> P., Jones V., </w:t>
      </w:r>
      <w:proofErr w:type="spellStart"/>
      <w:r w:rsidRPr="007553AD">
        <w:rPr>
          <w:lang w:val="en-GB"/>
        </w:rPr>
        <w:t>Whitwam</w:t>
      </w:r>
      <w:proofErr w:type="spellEnd"/>
      <w:r w:rsidRPr="007553AD">
        <w:rPr>
          <w:lang w:val="en-GB"/>
        </w:rPr>
        <w:t xml:space="preserve"> D. (2014) </w:t>
      </w:r>
      <w:r w:rsidRPr="007553AD">
        <w:rPr>
          <w:lang w:val="en-GB"/>
        </w:rPr>
        <w:br/>
        <w:t xml:space="preserve">A Protocol for Quality Control Testing for Contrast-Enhanced Dual Energy Mammography Systems. In: Fujita H., Hara T., </w:t>
      </w:r>
      <w:proofErr w:type="spellStart"/>
      <w:r w:rsidRPr="007553AD">
        <w:rPr>
          <w:lang w:val="en-GB"/>
        </w:rPr>
        <w:t>Muramatsu</w:t>
      </w:r>
      <w:proofErr w:type="spellEnd"/>
      <w:r w:rsidRPr="007553AD">
        <w:rPr>
          <w:lang w:val="en-GB"/>
        </w:rPr>
        <w:t xml:space="preserve"> C. (</w:t>
      </w:r>
      <w:proofErr w:type="spellStart"/>
      <w:r w:rsidRPr="007553AD">
        <w:rPr>
          <w:lang w:val="en-GB"/>
        </w:rPr>
        <w:t>eds</w:t>
      </w:r>
      <w:proofErr w:type="spellEnd"/>
      <w:r w:rsidRPr="007553AD">
        <w:rPr>
          <w:lang w:val="en-GB"/>
        </w:rPr>
        <w:t xml:space="preserve">) Breast Imaging. IWDM 2014. Lecture Notes in Computer Science, </w:t>
      </w:r>
      <w:proofErr w:type="spellStart"/>
      <w:r w:rsidRPr="007553AD">
        <w:rPr>
          <w:lang w:val="en-GB"/>
        </w:rPr>
        <w:t>vol</w:t>
      </w:r>
      <w:proofErr w:type="spellEnd"/>
      <w:r w:rsidRPr="007553AD">
        <w:rPr>
          <w:lang w:val="en-GB"/>
        </w:rPr>
        <w:t xml:space="preserve"> 8539. Springer, Cham</w:t>
      </w:r>
    </w:p>
    <w:p w:rsidR="00030E18" w:rsidRPr="007553AD" w:rsidRDefault="00030E18" w:rsidP="00030E18">
      <w:pPr>
        <w:rPr>
          <w:lang w:val="en-GB"/>
        </w:rPr>
      </w:pPr>
      <w:r w:rsidRPr="007553AD">
        <w:rPr>
          <w:lang w:val="en-GB"/>
        </w:rPr>
        <w:t>[4] Yana Popova, Remy Klausz, Henri Souchay et al.</w:t>
      </w:r>
      <w:r w:rsidRPr="007553AD">
        <w:rPr>
          <w:lang w:val="en-GB"/>
        </w:rPr>
        <w:br/>
        <w:t>New phantom concept for double-energy contrast-enhanced digital mammography</w:t>
      </w:r>
      <w:r w:rsidRPr="007553AD">
        <w:rPr>
          <w:lang w:val="en-GB"/>
        </w:rPr>
        <w:br/>
        <w:t>Oral presentation SS1713 ECR (2010)</w:t>
      </w:r>
    </w:p>
    <w:p w:rsidR="001F796C" w:rsidRPr="007553AD" w:rsidRDefault="001F796C" w:rsidP="001F796C">
      <w:pPr>
        <w:rPr>
          <w:lang w:val="en-GB"/>
        </w:rPr>
      </w:pPr>
      <w:r w:rsidRPr="007553AD">
        <w:rPr>
          <w:lang w:val="en-GB"/>
        </w:rPr>
        <w:t xml:space="preserve">[5] </w:t>
      </w:r>
      <w:proofErr w:type="spellStart"/>
      <w:r w:rsidRPr="007553AD">
        <w:rPr>
          <w:lang w:val="en-GB"/>
        </w:rPr>
        <w:t>Leithner</w:t>
      </w:r>
      <w:proofErr w:type="spellEnd"/>
      <w:r w:rsidRPr="007553AD">
        <w:rPr>
          <w:lang w:val="en-GB"/>
        </w:rPr>
        <w:t xml:space="preserve">, R., </w:t>
      </w:r>
      <w:proofErr w:type="spellStart"/>
      <w:r w:rsidRPr="007553AD">
        <w:rPr>
          <w:lang w:val="en-GB"/>
        </w:rPr>
        <w:t>Knogler</w:t>
      </w:r>
      <w:proofErr w:type="spellEnd"/>
      <w:r w:rsidRPr="007553AD">
        <w:rPr>
          <w:lang w:val="en-GB"/>
        </w:rPr>
        <w:t xml:space="preserve">, T., </w:t>
      </w:r>
      <w:proofErr w:type="spellStart"/>
      <w:r w:rsidRPr="007553AD">
        <w:rPr>
          <w:lang w:val="en-GB"/>
        </w:rPr>
        <w:t>Homolka</w:t>
      </w:r>
      <w:proofErr w:type="spellEnd"/>
      <w:r w:rsidRPr="007553AD">
        <w:rPr>
          <w:lang w:val="en-GB"/>
        </w:rPr>
        <w:t>, P.</w:t>
      </w:r>
      <w:r w:rsidRPr="007553AD">
        <w:rPr>
          <w:lang w:val="en-GB"/>
        </w:rPr>
        <w:br/>
        <w:t>Development and Production of a Prototype Iodine Contrast Phantom for CEDEM</w:t>
      </w:r>
      <w:r w:rsidRPr="007553AD">
        <w:rPr>
          <w:lang w:val="en-GB"/>
        </w:rPr>
        <w:br/>
        <w:t xml:space="preserve">Phys. Med. Biol.58, N25-N35 (2013) </w:t>
      </w:r>
    </w:p>
    <w:p w:rsidR="007B1140" w:rsidRPr="007553AD" w:rsidRDefault="007B1140" w:rsidP="001F796C">
      <w:pPr>
        <w:rPr>
          <w:lang w:val="en-GB"/>
        </w:rPr>
      </w:pPr>
      <w:r w:rsidRPr="007553AD">
        <w:rPr>
          <w:lang w:val="en-GB"/>
        </w:rPr>
        <w:t>[6]</w:t>
      </w:r>
      <w:r w:rsidR="002B3D90" w:rsidRPr="007553AD">
        <w:rPr>
          <w:lang w:val="en-GB"/>
        </w:rPr>
        <w:t xml:space="preserve"> N. </w:t>
      </w:r>
      <w:proofErr w:type="spellStart"/>
      <w:r w:rsidR="002B3D90" w:rsidRPr="007553AD">
        <w:rPr>
          <w:lang w:val="en-GB"/>
        </w:rPr>
        <w:t>Geeraert</w:t>
      </w:r>
      <w:proofErr w:type="spellEnd"/>
      <w:r w:rsidR="002B3D90" w:rsidRPr="007553AD">
        <w:rPr>
          <w:lang w:val="en-GB"/>
        </w:rPr>
        <w:t xml:space="preserve">, R. Klausz, D. Sundermann, S. Muller, H. </w:t>
      </w:r>
      <w:proofErr w:type="spellStart"/>
      <w:r w:rsidR="002B3D90" w:rsidRPr="007553AD">
        <w:rPr>
          <w:lang w:val="en-GB"/>
        </w:rPr>
        <w:t>Bosmans</w:t>
      </w:r>
      <w:proofErr w:type="spellEnd"/>
      <w:r w:rsidR="002B3D90" w:rsidRPr="007553AD">
        <w:rPr>
          <w:lang w:val="en-GB"/>
        </w:rPr>
        <w:br/>
        <w:t>Breast size and exposure control sensing area position: a large sample study</w:t>
      </w:r>
      <w:r w:rsidR="002B3D90" w:rsidRPr="007553AD">
        <w:rPr>
          <w:lang w:val="en-GB"/>
        </w:rPr>
        <w:br/>
        <w:t>ECR 2012 Poster No.:  C-</w:t>
      </w:r>
      <w:proofErr w:type="gramStart"/>
      <w:r w:rsidR="002B3D90" w:rsidRPr="007553AD">
        <w:rPr>
          <w:lang w:val="en-GB"/>
        </w:rPr>
        <w:t>1159 ,</w:t>
      </w:r>
      <w:proofErr w:type="gramEnd"/>
      <w:r w:rsidR="002B3D90" w:rsidRPr="007553AD">
        <w:rPr>
          <w:lang w:val="en-GB"/>
        </w:rPr>
        <w:t xml:space="preserve"> </w:t>
      </w:r>
      <w:r w:rsidR="002B3D90" w:rsidRPr="007553AD">
        <w:rPr>
          <w:lang w:val="en-GB"/>
        </w:rPr>
        <w:tab/>
        <w:t>DOI: 10.1594/ecr2012/C-1159</w:t>
      </w:r>
    </w:p>
    <w:p w:rsidR="00D53E01" w:rsidRPr="007553AD" w:rsidRDefault="00D53E01" w:rsidP="00030E18">
      <w:pPr>
        <w:rPr>
          <w:lang w:val="en-GB"/>
        </w:rPr>
      </w:pPr>
      <w:r w:rsidRPr="007553AD">
        <w:rPr>
          <w:lang w:val="en-GB"/>
        </w:rPr>
        <w:t xml:space="preserve">[7] D R Dance, C L Skinner, K C Young, J R Beckett and C J </w:t>
      </w:r>
      <w:proofErr w:type="spellStart"/>
      <w:r w:rsidRPr="007553AD">
        <w:rPr>
          <w:lang w:val="en-GB"/>
        </w:rPr>
        <w:t>Kotre</w:t>
      </w:r>
      <w:proofErr w:type="spellEnd"/>
      <w:r w:rsidRPr="007553AD">
        <w:rPr>
          <w:lang w:val="en-GB"/>
        </w:rPr>
        <w:br/>
        <w:t>Additional factors for the estimation of mean glandular breast dose using the UK mammography dosimetry protocol</w:t>
      </w:r>
      <w:r w:rsidRPr="007553AD">
        <w:rPr>
          <w:lang w:val="en-GB"/>
        </w:rPr>
        <w:br/>
        <w:t>Phys. Med. Biol. 45 (2000) 3225–3240</w:t>
      </w:r>
    </w:p>
    <w:p w:rsidR="002B3D90" w:rsidRPr="007553AD" w:rsidRDefault="002B3D90" w:rsidP="00030E18">
      <w:pPr>
        <w:rPr>
          <w:lang w:val="en-GB"/>
        </w:rPr>
      </w:pPr>
    </w:p>
    <w:p w:rsidR="00030E18" w:rsidRPr="007553AD" w:rsidRDefault="00030E18">
      <w:pPr>
        <w:rPr>
          <w:lang w:val="en-GB"/>
        </w:rPr>
      </w:pPr>
    </w:p>
    <w:sectPr w:rsidR="00030E18" w:rsidRPr="007553AD" w:rsidSect="00B76221">
      <w:pgSz w:w="11906" w:h="16838"/>
      <w:pgMar w:top="1417" w:right="1983" w:bottom="1417"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E3081"/>
    <w:multiLevelType w:val="hybridMultilevel"/>
    <w:tmpl w:val="18EA51A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344B697B"/>
    <w:multiLevelType w:val="hybridMultilevel"/>
    <w:tmpl w:val="2BF6CA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CD62ECD"/>
    <w:multiLevelType w:val="hybridMultilevel"/>
    <w:tmpl w:val="75E0B422"/>
    <w:lvl w:ilvl="0" w:tplc="21228854">
      <w:start w:val="1"/>
      <w:numFmt w:val="bullet"/>
      <w:lvlText w:val="-"/>
      <w:lvlJc w:val="left"/>
      <w:pPr>
        <w:ind w:left="72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46AA3C71"/>
    <w:multiLevelType w:val="hybridMultilevel"/>
    <w:tmpl w:val="D346A9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4C8"/>
    <w:rsid w:val="00030E18"/>
    <w:rsid w:val="00042EE5"/>
    <w:rsid w:val="00055933"/>
    <w:rsid w:val="00082C3C"/>
    <w:rsid w:val="000C1468"/>
    <w:rsid w:val="001377FE"/>
    <w:rsid w:val="00137DED"/>
    <w:rsid w:val="00157BEA"/>
    <w:rsid w:val="00197002"/>
    <w:rsid w:val="001B248F"/>
    <w:rsid w:val="001D1AEA"/>
    <w:rsid w:val="001D4F33"/>
    <w:rsid w:val="001F796C"/>
    <w:rsid w:val="0021543C"/>
    <w:rsid w:val="00293EE2"/>
    <w:rsid w:val="002B3D90"/>
    <w:rsid w:val="002F4CDF"/>
    <w:rsid w:val="00331708"/>
    <w:rsid w:val="00392CEC"/>
    <w:rsid w:val="003B2D86"/>
    <w:rsid w:val="003D4FDD"/>
    <w:rsid w:val="004074C8"/>
    <w:rsid w:val="00415222"/>
    <w:rsid w:val="00446195"/>
    <w:rsid w:val="004622D4"/>
    <w:rsid w:val="004A64ED"/>
    <w:rsid w:val="004C3072"/>
    <w:rsid w:val="004D6260"/>
    <w:rsid w:val="004F25E9"/>
    <w:rsid w:val="00506CA2"/>
    <w:rsid w:val="00557111"/>
    <w:rsid w:val="005744DD"/>
    <w:rsid w:val="005B614E"/>
    <w:rsid w:val="005C6688"/>
    <w:rsid w:val="00601A56"/>
    <w:rsid w:val="00634156"/>
    <w:rsid w:val="00636520"/>
    <w:rsid w:val="00661C95"/>
    <w:rsid w:val="00703B71"/>
    <w:rsid w:val="00707B0F"/>
    <w:rsid w:val="00711065"/>
    <w:rsid w:val="007138B3"/>
    <w:rsid w:val="007553AD"/>
    <w:rsid w:val="007A33C8"/>
    <w:rsid w:val="007A3B39"/>
    <w:rsid w:val="007B1140"/>
    <w:rsid w:val="007B6DD3"/>
    <w:rsid w:val="007C180A"/>
    <w:rsid w:val="007C7D2E"/>
    <w:rsid w:val="0084044C"/>
    <w:rsid w:val="0088268B"/>
    <w:rsid w:val="008865EF"/>
    <w:rsid w:val="008A3E67"/>
    <w:rsid w:val="008E51B6"/>
    <w:rsid w:val="008F0EEB"/>
    <w:rsid w:val="00955C49"/>
    <w:rsid w:val="00973359"/>
    <w:rsid w:val="009A3DAB"/>
    <w:rsid w:val="00A808E1"/>
    <w:rsid w:val="00AC012B"/>
    <w:rsid w:val="00AD6D36"/>
    <w:rsid w:val="00B0429E"/>
    <w:rsid w:val="00B11611"/>
    <w:rsid w:val="00B54126"/>
    <w:rsid w:val="00B76221"/>
    <w:rsid w:val="00B80618"/>
    <w:rsid w:val="00BA07BB"/>
    <w:rsid w:val="00BE2019"/>
    <w:rsid w:val="00BF08A0"/>
    <w:rsid w:val="00BF6B8A"/>
    <w:rsid w:val="00C026AF"/>
    <w:rsid w:val="00C15828"/>
    <w:rsid w:val="00C36BE6"/>
    <w:rsid w:val="00C448AE"/>
    <w:rsid w:val="00C80DBC"/>
    <w:rsid w:val="00CD21AA"/>
    <w:rsid w:val="00CE0A65"/>
    <w:rsid w:val="00CE2239"/>
    <w:rsid w:val="00CE72F5"/>
    <w:rsid w:val="00CF6C1C"/>
    <w:rsid w:val="00D30226"/>
    <w:rsid w:val="00D433F1"/>
    <w:rsid w:val="00D53E01"/>
    <w:rsid w:val="00D72C9C"/>
    <w:rsid w:val="00DC5DD1"/>
    <w:rsid w:val="00E20735"/>
    <w:rsid w:val="00E27059"/>
    <w:rsid w:val="00E363BF"/>
    <w:rsid w:val="00E82B4F"/>
    <w:rsid w:val="00ED69BF"/>
    <w:rsid w:val="00ED744C"/>
    <w:rsid w:val="00ED746E"/>
    <w:rsid w:val="00F34E54"/>
    <w:rsid w:val="00F359B5"/>
    <w:rsid w:val="00F43F6E"/>
    <w:rsid w:val="00F605F4"/>
    <w:rsid w:val="00FB636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B5E46"/>
  <w15:chartTrackingRefBased/>
  <w15:docId w15:val="{0E26041E-E3CD-46C1-BB2C-D9D32B403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074C8"/>
    <w:rPr>
      <w:color w:val="0000FF"/>
      <w:u w:val="single"/>
    </w:rPr>
  </w:style>
  <w:style w:type="paragraph" w:styleId="NormalWeb">
    <w:name w:val="Normal (Web)"/>
    <w:basedOn w:val="Normal"/>
    <w:uiPriority w:val="99"/>
    <w:unhideWhenUsed/>
    <w:rsid w:val="004074C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Strong">
    <w:name w:val="Strong"/>
    <w:basedOn w:val="DefaultParagraphFont"/>
    <w:uiPriority w:val="22"/>
    <w:qFormat/>
    <w:rsid w:val="0019700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097180">
      <w:bodyDiv w:val="1"/>
      <w:marLeft w:val="0"/>
      <w:marRight w:val="0"/>
      <w:marTop w:val="0"/>
      <w:marBottom w:val="0"/>
      <w:divBdr>
        <w:top w:val="none" w:sz="0" w:space="0" w:color="auto"/>
        <w:left w:val="none" w:sz="0" w:space="0" w:color="auto"/>
        <w:bottom w:val="none" w:sz="0" w:space="0" w:color="auto"/>
        <w:right w:val="none" w:sz="0" w:space="0" w:color="auto"/>
      </w:divBdr>
    </w:div>
    <w:div w:id="433671466">
      <w:bodyDiv w:val="1"/>
      <w:marLeft w:val="0"/>
      <w:marRight w:val="0"/>
      <w:marTop w:val="0"/>
      <w:marBottom w:val="0"/>
      <w:divBdr>
        <w:top w:val="none" w:sz="0" w:space="0" w:color="auto"/>
        <w:left w:val="none" w:sz="0" w:space="0" w:color="auto"/>
        <w:bottom w:val="none" w:sz="0" w:space="0" w:color="auto"/>
        <w:right w:val="none" w:sz="0" w:space="0" w:color="auto"/>
      </w:divBdr>
    </w:div>
    <w:div w:id="818158153">
      <w:bodyDiv w:val="1"/>
      <w:marLeft w:val="0"/>
      <w:marRight w:val="0"/>
      <w:marTop w:val="0"/>
      <w:marBottom w:val="0"/>
      <w:divBdr>
        <w:top w:val="none" w:sz="0" w:space="0" w:color="auto"/>
        <w:left w:val="none" w:sz="0" w:space="0" w:color="auto"/>
        <w:bottom w:val="none" w:sz="0" w:space="0" w:color="auto"/>
        <w:right w:val="none" w:sz="0" w:space="0" w:color="auto"/>
      </w:divBdr>
      <w:divsChild>
        <w:div w:id="121460693">
          <w:marLeft w:val="0"/>
          <w:marRight w:val="0"/>
          <w:marTop w:val="0"/>
          <w:marBottom w:val="0"/>
          <w:divBdr>
            <w:top w:val="none" w:sz="0" w:space="0" w:color="auto"/>
            <w:left w:val="none" w:sz="0" w:space="0" w:color="auto"/>
            <w:bottom w:val="none" w:sz="0" w:space="0" w:color="auto"/>
            <w:right w:val="none" w:sz="0" w:space="0" w:color="auto"/>
          </w:divBdr>
          <w:divsChild>
            <w:div w:id="755900749">
              <w:marLeft w:val="0"/>
              <w:marRight w:val="0"/>
              <w:marTop w:val="0"/>
              <w:marBottom w:val="0"/>
              <w:divBdr>
                <w:top w:val="none" w:sz="0" w:space="0" w:color="auto"/>
                <w:left w:val="none" w:sz="0" w:space="0" w:color="auto"/>
                <w:bottom w:val="none" w:sz="0" w:space="0" w:color="auto"/>
                <w:right w:val="none" w:sz="0" w:space="0" w:color="auto"/>
              </w:divBdr>
              <w:divsChild>
                <w:div w:id="1876963539">
                  <w:marLeft w:val="0"/>
                  <w:marRight w:val="0"/>
                  <w:marTop w:val="0"/>
                  <w:marBottom w:val="0"/>
                  <w:divBdr>
                    <w:top w:val="none" w:sz="0" w:space="0" w:color="auto"/>
                    <w:left w:val="none" w:sz="0" w:space="0" w:color="auto"/>
                    <w:bottom w:val="none" w:sz="0" w:space="0" w:color="auto"/>
                    <w:right w:val="none" w:sz="0" w:space="0" w:color="auto"/>
                  </w:divBdr>
                  <w:divsChild>
                    <w:div w:id="350303615">
                      <w:marLeft w:val="0"/>
                      <w:marRight w:val="0"/>
                      <w:marTop w:val="225"/>
                      <w:marBottom w:val="0"/>
                      <w:divBdr>
                        <w:top w:val="none" w:sz="0" w:space="0" w:color="auto"/>
                        <w:left w:val="none" w:sz="0" w:space="0" w:color="auto"/>
                        <w:bottom w:val="none" w:sz="0" w:space="0" w:color="auto"/>
                        <w:right w:val="none" w:sz="0" w:space="0" w:color="auto"/>
                      </w:divBdr>
                      <w:divsChild>
                        <w:div w:id="1739985158">
                          <w:marLeft w:val="0"/>
                          <w:marRight w:val="0"/>
                          <w:marTop w:val="0"/>
                          <w:marBottom w:val="0"/>
                          <w:divBdr>
                            <w:top w:val="none" w:sz="0" w:space="0" w:color="auto"/>
                            <w:left w:val="none" w:sz="0" w:space="0" w:color="auto"/>
                            <w:bottom w:val="none" w:sz="0" w:space="0" w:color="auto"/>
                            <w:right w:val="none" w:sz="0" w:space="0" w:color="auto"/>
                          </w:divBdr>
                          <w:divsChild>
                            <w:div w:id="2045399912">
                              <w:marLeft w:val="0"/>
                              <w:marRight w:val="0"/>
                              <w:marTop w:val="0"/>
                              <w:marBottom w:val="0"/>
                              <w:divBdr>
                                <w:top w:val="none" w:sz="0" w:space="0" w:color="auto"/>
                                <w:left w:val="none" w:sz="0" w:space="0" w:color="auto"/>
                                <w:bottom w:val="none" w:sz="0" w:space="0" w:color="auto"/>
                                <w:right w:val="none" w:sz="0" w:space="0" w:color="auto"/>
                              </w:divBdr>
                              <w:divsChild>
                                <w:div w:id="1616477219">
                                  <w:marLeft w:val="0"/>
                                  <w:marRight w:val="0"/>
                                  <w:marTop w:val="0"/>
                                  <w:marBottom w:val="0"/>
                                  <w:divBdr>
                                    <w:top w:val="none" w:sz="0" w:space="0" w:color="auto"/>
                                    <w:left w:val="none" w:sz="0" w:space="0" w:color="auto"/>
                                    <w:bottom w:val="none" w:sz="0" w:space="0" w:color="auto"/>
                                    <w:right w:val="none" w:sz="0" w:space="0" w:color="auto"/>
                                  </w:divBdr>
                                  <w:divsChild>
                                    <w:div w:id="182594101">
                                      <w:marLeft w:val="0"/>
                                      <w:marRight w:val="0"/>
                                      <w:marTop w:val="0"/>
                                      <w:marBottom w:val="0"/>
                                      <w:divBdr>
                                        <w:top w:val="none" w:sz="0" w:space="0" w:color="auto"/>
                                        <w:left w:val="none" w:sz="0" w:space="0" w:color="auto"/>
                                        <w:bottom w:val="none" w:sz="0" w:space="0" w:color="auto"/>
                                        <w:right w:val="none" w:sz="0" w:space="0" w:color="auto"/>
                                      </w:divBdr>
                                      <w:divsChild>
                                        <w:div w:id="382488502">
                                          <w:marLeft w:val="0"/>
                                          <w:marRight w:val="0"/>
                                          <w:marTop w:val="0"/>
                                          <w:marBottom w:val="0"/>
                                          <w:divBdr>
                                            <w:top w:val="none" w:sz="0" w:space="0" w:color="auto"/>
                                            <w:left w:val="none" w:sz="0" w:space="0" w:color="auto"/>
                                            <w:bottom w:val="none" w:sz="0" w:space="0" w:color="auto"/>
                                            <w:right w:val="none" w:sz="0" w:space="0" w:color="auto"/>
                                          </w:divBdr>
                                          <w:divsChild>
                                            <w:div w:id="829754349">
                                              <w:marLeft w:val="0"/>
                                              <w:marRight w:val="0"/>
                                              <w:marTop w:val="120"/>
                                              <w:marBottom w:val="0"/>
                                              <w:divBdr>
                                                <w:top w:val="none" w:sz="0" w:space="0" w:color="auto"/>
                                                <w:left w:val="none" w:sz="0" w:space="0" w:color="auto"/>
                                                <w:bottom w:val="none" w:sz="0" w:space="0" w:color="auto"/>
                                                <w:right w:val="none" w:sz="0" w:space="0" w:color="auto"/>
                                              </w:divBdr>
                                              <w:divsChild>
                                                <w:div w:id="36509672">
                                                  <w:marLeft w:val="0"/>
                                                  <w:marRight w:val="0"/>
                                                  <w:marTop w:val="0"/>
                                                  <w:marBottom w:val="0"/>
                                                  <w:divBdr>
                                                    <w:top w:val="none" w:sz="0" w:space="0" w:color="auto"/>
                                                    <w:left w:val="none" w:sz="0" w:space="0" w:color="auto"/>
                                                    <w:bottom w:val="none" w:sz="0" w:space="0" w:color="auto"/>
                                                    <w:right w:val="none" w:sz="0" w:space="0" w:color="auto"/>
                                                  </w:divBdr>
                                                </w:div>
                                              </w:divsChild>
                                            </w:div>
                                            <w:div w:id="54290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2504287">
      <w:bodyDiv w:val="1"/>
      <w:marLeft w:val="0"/>
      <w:marRight w:val="0"/>
      <w:marTop w:val="0"/>
      <w:marBottom w:val="0"/>
      <w:divBdr>
        <w:top w:val="none" w:sz="0" w:space="0" w:color="auto"/>
        <w:left w:val="none" w:sz="0" w:space="0" w:color="auto"/>
        <w:bottom w:val="none" w:sz="0" w:space="0" w:color="auto"/>
        <w:right w:val="none" w:sz="0" w:space="0" w:color="auto"/>
      </w:divBdr>
      <w:divsChild>
        <w:div w:id="729112954">
          <w:marLeft w:val="0"/>
          <w:marRight w:val="0"/>
          <w:marTop w:val="0"/>
          <w:marBottom w:val="0"/>
          <w:divBdr>
            <w:top w:val="none" w:sz="0" w:space="0" w:color="auto"/>
            <w:left w:val="none" w:sz="0" w:space="0" w:color="auto"/>
            <w:bottom w:val="none" w:sz="0" w:space="0" w:color="auto"/>
            <w:right w:val="none" w:sz="0" w:space="0" w:color="auto"/>
          </w:divBdr>
          <w:divsChild>
            <w:div w:id="1892304171">
              <w:marLeft w:val="0"/>
              <w:marRight w:val="0"/>
              <w:marTop w:val="0"/>
              <w:marBottom w:val="0"/>
              <w:divBdr>
                <w:top w:val="none" w:sz="0" w:space="0" w:color="auto"/>
                <w:left w:val="none" w:sz="0" w:space="0" w:color="auto"/>
                <w:bottom w:val="none" w:sz="0" w:space="0" w:color="auto"/>
                <w:right w:val="none" w:sz="0" w:space="0" w:color="auto"/>
              </w:divBdr>
              <w:divsChild>
                <w:div w:id="368267429">
                  <w:marLeft w:val="0"/>
                  <w:marRight w:val="0"/>
                  <w:marTop w:val="0"/>
                  <w:marBottom w:val="0"/>
                  <w:divBdr>
                    <w:top w:val="none" w:sz="0" w:space="0" w:color="auto"/>
                    <w:left w:val="none" w:sz="0" w:space="0" w:color="auto"/>
                    <w:bottom w:val="none" w:sz="0" w:space="0" w:color="auto"/>
                    <w:right w:val="none" w:sz="0" w:space="0" w:color="auto"/>
                  </w:divBdr>
                  <w:divsChild>
                    <w:div w:id="122045502">
                      <w:marLeft w:val="0"/>
                      <w:marRight w:val="0"/>
                      <w:marTop w:val="225"/>
                      <w:marBottom w:val="0"/>
                      <w:divBdr>
                        <w:top w:val="none" w:sz="0" w:space="0" w:color="auto"/>
                        <w:left w:val="none" w:sz="0" w:space="0" w:color="auto"/>
                        <w:bottom w:val="none" w:sz="0" w:space="0" w:color="auto"/>
                        <w:right w:val="none" w:sz="0" w:space="0" w:color="auto"/>
                      </w:divBdr>
                      <w:divsChild>
                        <w:div w:id="851139622">
                          <w:marLeft w:val="0"/>
                          <w:marRight w:val="0"/>
                          <w:marTop w:val="0"/>
                          <w:marBottom w:val="0"/>
                          <w:divBdr>
                            <w:top w:val="none" w:sz="0" w:space="0" w:color="auto"/>
                            <w:left w:val="none" w:sz="0" w:space="0" w:color="auto"/>
                            <w:bottom w:val="none" w:sz="0" w:space="0" w:color="auto"/>
                            <w:right w:val="none" w:sz="0" w:space="0" w:color="auto"/>
                          </w:divBdr>
                          <w:divsChild>
                            <w:div w:id="2047675020">
                              <w:marLeft w:val="0"/>
                              <w:marRight w:val="0"/>
                              <w:marTop w:val="0"/>
                              <w:marBottom w:val="0"/>
                              <w:divBdr>
                                <w:top w:val="none" w:sz="0" w:space="0" w:color="auto"/>
                                <w:left w:val="none" w:sz="0" w:space="0" w:color="auto"/>
                                <w:bottom w:val="none" w:sz="0" w:space="0" w:color="auto"/>
                                <w:right w:val="none" w:sz="0" w:space="0" w:color="auto"/>
                              </w:divBdr>
                              <w:divsChild>
                                <w:div w:id="1311399982">
                                  <w:marLeft w:val="0"/>
                                  <w:marRight w:val="0"/>
                                  <w:marTop w:val="0"/>
                                  <w:marBottom w:val="0"/>
                                  <w:divBdr>
                                    <w:top w:val="none" w:sz="0" w:space="0" w:color="auto"/>
                                    <w:left w:val="none" w:sz="0" w:space="0" w:color="auto"/>
                                    <w:bottom w:val="none" w:sz="0" w:space="0" w:color="auto"/>
                                    <w:right w:val="none" w:sz="0" w:space="0" w:color="auto"/>
                                  </w:divBdr>
                                  <w:divsChild>
                                    <w:div w:id="1630358940">
                                      <w:marLeft w:val="0"/>
                                      <w:marRight w:val="0"/>
                                      <w:marTop w:val="0"/>
                                      <w:marBottom w:val="0"/>
                                      <w:divBdr>
                                        <w:top w:val="none" w:sz="0" w:space="0" w:color="auto"/>
                                        <w:left w:val="none" w:sz="0" w:space="0" w:color="auto"/>
                                        <w:bottom w:val="none" w:sz="0" w:space="0" w:color="auto"/>
                                        <w:right w:val="none" w:sz="0" w:space="0" w:color="auto"/>
                                      </w:divBdr>
                                      <w:divsChild>
                                        <w:div w:id="974411911">
                                          <w:marLeft w:val="0"/>
                                          <w:marRight w:val="0"/>
                                          <w:marTop w:val="0"/>
                                          <w:marBottom w:val="0"/>
                                          <w:divBdr>
                                            <w:top w:val="none" w:sz="0" w:space="0" w:color="auto"/>
                                            <w:left w:val="none" w:sz="0" w:space="0" w:color="auto"/>
                                            <w:bottom w:val="none" w:sz="0" w:space="0" w:color="auto"/>
                                            <w:right w:val="none" w:sz="0" w:space="0" w:color="auto"/>
                                          </w:divBdr>
                                          <w:divsChild>
                                            <w:div w:id="209486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2333076">
      <w:bodyDiv w:val="1"/>
      <w:marLeft w:val="0"/>
      <w:marRight w:val="0"/>
      <w:marTop w:val="0"/>
      <w:marBottom w:val="0"/>
      <w:divBdr>
        <w:top w:val="none" w:sz="0" w:space="0" w:color="auto"/>
        <w:left w:val="none" w:sz="0" w:space="0" w:color="auto"/>
        <w:bottom w:val="none" w:sz="0" w:space="0" w:color="auto"/>
        <w:right w:val="none" w:sz="0" w:space="0" w:color="auto"/>
      </w:divBdr>
    </w:div>
    <w:div w:id="1319922189">
      <w:bodyDiv w:val="1"/>
      <w:marLeft w:val="0"/>
      <w:marRight w:val="0"/>
      <w:marTop w:val="0"/>
      <w:marBottom w:val="0"/>
      <w:divBdr>
        <w:top w:val="none" w:sz="0" w:space="0" w:color="auto"/>
        <w:left w:val="none" w:sz="0" w:space="0" w:color="auto"/>
        <w:bottom w:val="none" w:sz="0" w:space="0" w:color="auto"/>
        <w:right w:val="none" w:sz="0" w:space="0" w:color="auto"/>
      </w:divBdr>
    </w:div>
    <w:div w:id="1412043950">
      <w:bodyDiv w:val="1"/>
      <w:marLeft w:val="0"/>
      <w:marRight w:val="0"/>
      <w:marTop w:val="0"/>
      <w:marBottom w:val="0"/>
      <w:divBdr>
        <w:top w:val="none" w:sz="0" w:space="0" w:color="auto"/>
        <w:left w:val="none" w:sz="0" w:space="0" w:color="auto"/>
        <w:bottom w:val="none" w:sz="0" w:space="0" w:color="auto"/>
        <w:right w:val="none" w:sz="0" w:space="0" w:color="auto"/>
      </w:divBdr>
      <w:divsChild>
        <w:div w:id="1800294231">
          <w:marLeft w:val="0"/>
          <w:marRight w:val="0"/>
          <w:marTop w:val="0"/>
          <w:marBottom w:val="0"/>
          <w:divBdr>
            <w:top w:val="none" w:sz="0" w:space="0" w:color="auto"/>
            <w:left w:val="none" w:sz="0" w:space="0" w:color="auto"/>
            <w:bottom w:val="none" w:sz="0" w:space="0" w:color="auto"/>
            <w:right w:val="none" w:sz="0" w:space="0" w:color="auto"/>
          </w:divBdr>
          <w:divsChild>
            <w:div w:id="627393730">
              <w:marLeft w:val="0"/>
              <w:marRight w:val="0"/>
              <w:marTop w:val="0"/>
              <w:marBottom w:val="0"/>
              <w:divBdr>
                <w:top w:val="none" w:sz="0" w:space="0" w:color="auto"/>
                <w:left w:val="none" w:sz="0" w:space="0" w:color="auto"/>
                <w:bottom w:val="none" w:sz="0" w:space="0" w:color="auto"/>
                <w:right w:val="none" w:sz="0" w:space="0" w:color="auto"/>
              </w:divBdr>
              <w:divsChild>
                <w:div w:id="554657113">
                  <w:marLeft w:val="0"/>
                  <w:marRight w:val="0"/>
                  <w:marTop w:val="0"/>
                  <w:marBottom w:val="0"/>
                  <w:divBdr>
                    <w:top w:val="none" w:sz="0" w:space="0" w:color="auto"/>
                    <w:left w:val="none" w:sz="0" w:space="0" w:color="auto"/>
                    <w:bottom w:val="none" w:sz="0" w:space="0" w:color="auto"/>
                    <w:right w:val="none" w:sz="0" w:space="0" w:color="auto"/>
                  </w:divBdr>
                  <w:divsChild>
                    <w:div w:id="728381938">
                      <w:marLeft w:val="0"/>
                      <w:marRight w:val="0"/>
                      <w:marTop w:val="0"/>
                      <w:marBottom w:val="0"/>
                      <w:divBdr>
                        <w:top w:val="none" w:sz="0" w:space="0" w:color="auto"/>
                        <w:left w:val="none" w:sz="0" w:space="0" w:color="auto"/>
                        <w:bottom w:val="none" w:sz="0" w:space="0" w:color="auto"/>
                        <w:right w:val="none" w:sz="0" w:space="0" w:color="auto"/>
                      </w:divBdr>
                      <w:divsChild>
                        <w:div w:id="748574397">
                          <w:marLeft w:val="0"/>
                          <w:marRight w:val="0"/>
                          <w:marTop w:val="0"/>
                          <w:marBottom w:val="0"/>
                          <w:divBdr>
                            <w:top w:val="none" w:sz="0" w:space="0" w:color="auto"/>
                            <w:left w:val="none" w:sz="0" w:space="0" w:color="auto"/>
                            <w:bottom w:val="none" w:sz="0" w:space="0" w:color="auto"/>
                            <w:right w:val="none" w:sz="0" w:space="0" w:color="auto"/>
                          </w:divBdr>
                          <w:divsChild>
                            <w:div w:id="690566372">
                              <w:marLeft w:val="0"/>
                              <w:marRight w:val="0"/>
                              <w:marTop w:val="0"/>
                              <w:marBottom w:val="0"/>
                              <w:divBdr>
                                <w:top w:val="none" w:sz="0" w:space="0" w:color="auto"/>
                                <w:left w:val="none" w:sz="0" w:space="0" w:color="auto"/>
                                <w:bottom w:val="none" w:sz="0" w:space="0" w:color="auto"/>
                                <w:right w:val="none" w:sz="0" w:space="0" w:color="auto"/>
                              </w:divBdr>
                              <w:divsChild>
                                <w:div w:id="620304607">
                                  <w:marLeft w:val="0"/>
                                  <w:marRight w:val="0"/>
                                  <w:marTop w:val="0"/>
                                  <w:marBottom w:val="0"/>
                                  <w:divBdr>
                                    <w:top w:val="single" w:sz="12" w:space="0" w:color="CCCCCC"/>
                                    <w:left w:val="none" w:sz="0" w:space="0" w:color="auto"/>
                                    <w:bottom w:val="single" w:sz="12" w:space="0" w:color="CCCCCC"/>
                                    <w:right w:val="none" w:sz="0" w:space="0" w:color="auto"/>
                                  </w:divBdr>
                                </w:div>
                              </w:divsChild>
                            </w:div>
                          </w:divsChild>
                        </w:div>
                      </w:divsChild>
                    </w:div>
                  </w:divsChild>
                </w:div>
              </w:divsChild>
            </w:div>
          </w:divsChild>
        </w:div>
      </w:divsChild>
    </w:div>
    <w:div w:id="1417097815">
      <w:bodyDiv w:val="1"/>
      <w:marLeft w:val="0"/>
      <w:marRight w:val="0"/>
      <w:marTop w:val="0"/>
      <w:marBottom w:val="0"/>
      <w:divBdr>
        <w:top w:val="none" w:sz="0" w:space="0" w:color="auto"/>
        <w:left w:val="none" w:sz="0" w:space="0" w:color="auto"/>
        <w:bottom w:val="none" w:sz="0" w:space="0" w:color="auto"/>
        <w:right w:val="none" w:sz="0" w:space="0" w:color="auto"/>
      </w:divBdr>
      <w:divsChild>
        <w:div w:id="721712308">
          <w:marLeft w:val="0"/>
          <w:marRight w:val="0"/>
          <w:marTop w:val="0"/>
          <w:marBottom w:val="0"/>
          <w:divBdr>
            <w:top w:val="none" w:sz="0" w:space="0" w:color="auto"/>
            <w:left w:val="none" w:sz="0" w:space="0" w:color="auto"/>
            <w:bottom w:val="none" w:sz="0" w:space="0" w:color="auto"/>
            <w:right w:val="none" w:sz="0" w:space="0" w:color="auto"/>
          </w:divBdr>
          <w:divsChild>
            <w:div w:id="144130444">
              <w:marLeft w:val="0"/>
              <w:marRight w:val="0"/>
              <w:marTop w:val="0"/>
              <w:marBottom w:val="0"/>
              <w:divBdr>
                <w:top w:val="none" w:sz="0" w:space="0" w:color="auto"/>
                <w:left w:val="none" w:sz="0" w:space="0" w:color="auto"/>
                <w:bottom w:val="none" w:sz="0" w:space="0" w:color="auto"/>
                <w:right w:val="none" w:sz="0" w:space="0" w:color="auto"/>
              </w:divBdr>
              <w:divsChild>
                <w:div w:id="1294629943">
                  <w:marLeft w:val="0"/>
                  <w:marRight w:val="0"/>
                  <w:marTop w:val="900"/>
                  <w:marBottom w:val="0"/>
                  <w:divBdr>
                    <w:top w:val="none" w:sz="0" w:space="0" w:color="auto"/>
                    <w:left w:val="none" w:sz="0" w:space="0" w:color="auto"/>
                    <w:bottom w:val="none" w:sz="0" w:space="0" w:color="auto"/>
                    <w:right w:val="none" w:sz="0" w:space="0" w:color="auto"/>
                  </w:divBdr>
                  <w:divsChild>
                    <w:div w:id="1838962426">
                      <w:marLeft w:val="0"/>
                      <w:marRight w:val="0"/>
                      <w:marTop w:val="0"/>
                      <w:marBottom w:val="0"/>
                      <w:divBdr>
                        <w:top w:val="none" w:sz="0" w:space="0" w:color="auto"/>
                        <w:left w:val="none" w:sz="0" w:space="0" w:color="auto"/>
                        <w:bottom w:val="none" w:sz="0" w:space="0" w:color="auto"/>
                        <w:right w:val="none" w:sz="0" w:space="0" w:color="auto"/>
                      </w:divBdr>
                      <w:divsChild>
                        <w:div w:id="1528175250">
                          <w:marLeft w:val="0"/>
                          <w:marRight w:val="0"/>
                          <w:marTop w:val="0"/>
                          <w:marBottom w:val="0"/>
                          <w:divBdr>
                            <w:top w:val="none" w:sz="0" w:space="0" w:color="auto"/>
                            <w:left w:val="none" w:sz="0" w:space="0" w:color="auto"/>
                            <w:bottom w:val="none" w:sz="0" w:space="0" w:color="auto"/>
                            <w:right w:val="none" w:sz="0" w:space="0" w:color="auto"/>
                          </w:divBdr>
                          <w:divsChild>
                            <w:div w:id="1438521174">
                              <w:marLeft w:val="0"/>
                              <w:marRight w:val="0"/>
                              <w:marTop w:val="0"/>
                              <w:marBottom w:val="0"/>
                              <w:divBdr>
                                <w:top w:val="none" w:sz="0" w:space="0" w:color="auto"/>
                                <w:left w:val="single" w:sz="6" w:space="0" w:color="BBBBBB"/>
                                <w:bottom w:val="none" w:sz="0" w:space="0" w:color="auto"/>
                                <w:right w:val="single" w:sz="6" w:space="0" w:color="BBBBBB"/>
                              </w:divBdr>
                              <w:divsChild>
                                <w:div w:id="2023316976">
                                  <w:marLeft w:val="0"/>
                                  <w:marRight w:val="0"/>
                                  <w:marTop w:val="0"/>
                                  <w:marBottom w:val="0"/>
                                  <w:divBdr>
                                    <w:top w:val="none" w:sz="0" w:space="0" w:color="auto"/>
                                    <w:left w:val="none" w:sz="0" w:space="0" w:color="auto"/>
                                    <w:bottom w:val="none" w:sz="0" w:space="0" w:color="auto"/>
                                    <w:right w:val="single" w:sz="6" w:space="15" w:color="BBBBBB"/>
                                  </w:divBdr>
                                  <w:divsChild>
                                    <w:div w:id="1466236951">
                                      <w:marLeft w:val="0"/>
                                      <w:marRight w:val="0"/>
                                      <w:marTop w:val="0"/>
                                      <w:marBottom w:val="0"/>
                                      <w:divBdr>
                                        <w:top w:val="none" w:sz="0" w:space="0" w:color="auto"/>
                                        <w:left w:val="none" w:sz="0" w:space="0" w:color="auto"/>
                                        <w:bottom w:val="none" w:sz="0" w:space="0" w:color="auto"/>
                                        <w:right w:val="none" w:sz="0" w:space="0" w:color="auto"/>
                                      </w:divBdr>
                                      <w:divsChild>
                                        <w:div w:id="1071583799">
                                          <w:marLeft w:val="0"/>
                                          <w:marRight w:val="0"/>
                                          <w:marTop w:val="0"/>
                                          <w:marBottom w:val="0"/>
                                          <w:divBdr>
                                            <w:top w:val="none" w:sz="0" w:space="0" w:color="auto"/>
                                            <w:left w:val="none" w:sz="0" w:space="0" w:color="auto"/>
                                            <w:bottom w:val="none" w:sz="0" w:space="0" w:color="auto"/>
                                            <w:right w:val="none" w:sz="0" w:space="0" w:color="auto"/>
                                          </w:divBdr>
                                          <w:divsChild>
                                            <w:div w:id="1919971928">
                                              <w:marLeft w:val="0"/>
                                              <w:marRight w:val="0"/>
                                              <w:marTop w:val="0"/>
                                              <w:marBottom w:val="600"/>
                                              <w:divBdr>
                                                <w:top w:val="none" w:sz="0" w:space="0" w:color="auto"/>
                                                <w:left w:val="none" w:sz="0" w:space="0" w:color="auto"/>
                                                <w:bottom w:val="none" w:sz="0" w:space="0" w:color="auto"/>
                                                <w:right w:val="none" w:sz="0" w:space="0" w:color="auto"/>
                                              </w:divBdr>
                                              <w:divsChild>
                                                <w:div w:id="1684748745">
                                                  <w:marLeft w:val="0"/>
                                                  <w:marRight w:val="0"/>
                                                  <w:marTop w:val="0"/>
                                                  <w:marBottom w:val="0"/>
                                                  <w:divBdr>
                                                    <w:top w:val="none" w:sz="0" w:space="0" w:color="auto"/>
                                                    <w:left w:val="none" w:sz="0" w:space="0" w:color="auto"/>
                                                    <w:bottom w:val="none" w:sz="0" w:space="0" w:color="auto"/>
                                                    <w:right w:val="none" w:sz="0" w:space="0" w:color="auto"/>
                                                  </w:divBdr>
                                                  <w:divsChild>
                                                    <w:div w:id="35400439">
                                                      <w:marLeft w:val="0"/>
                                                      <w:marRight w:val="0"/>
                                                      <w:marTop w:val="0"/>
                                                      <w:marBottom w:val="0"/>
                                                      <w:divBdr>
                                                        <w:top w:val="none" w:sz="0" w:space="0" w:color="auto"/>
                                                        <w:left w:val="none" w:sz="0" w:space="0" w:color="auto"/>
                                                        <w:bottom w:val="none" w:sz="0" w:space="0" w:color="auto"/>
                                                        <w:right w:val="none" w:sz="0" w:space="0" w:color="auto"/>
                                                      </w:divBdr>
                                                      <w:divsChild>
                                                        <w:div w:id="2111780427">
                                                          <w:marLeft w:val="0"/>
                                                          <w:marRight w:val="0"/>
                                                          <w:marTop w:val="0"/>
                                                          <w:marBottom w:val="0"/>
                                                          <w:divBdr>
                                                            <w:top w:val="none" w:sz="0" w:space="0" w:color="auto"/>
                                                            <w:left w:val="none" w:sz="0" w:space="0" w:color="auto"/>
                                                            <w:bottom w:val="none" w:sz="0" w:space="0" w:color="auto"/>
                                                            <w:right w:val="none" w:sz="0" w:space="0" w:color="auto"/>
                                                          </w:divBdr>
                                                          <w:divsChild>
                                                            <w:div w:id="1120609723">
                                                              <w:marLeft w:val="0"/>
                                                              <w:marRight w:val="0"/>
                                                              <w:marTop w:val="0"/>
                                                              <w:marBottom w:val="0"/>
                                                              <w:divBdr>
                                                                <w:top w:val="none" w:sz="0" w:space="0" w:color="auto"/>
                                                                <w:left w:val="none" w:sz="0" w:space="0" w:color="auto"/>
                                                                <w:bottom w:val="none" w:sz="0" w:space="0" w:color="auto"/>
                                                                <w:right w:val="none" w:sz="0" w:space="0" w:color="auto"/>
                                                              </w:divBdr>
                                                              <w:divsChild>
                                                                <w:div w:id="2053840426">
                                                                  <w:marLeft w:val="0"/>
                                                                  <w:marRight w:val="0"/>
                                                                  <w:marTop w:val="0"/>
                                                                  <w:marBottom w:val="0"/>
                                                                  <w:divBdr>
                                                                    <w:top w:val="none" w:sz="0" w:space="0" w:color="auto"/>
                                                                    <w:left w:val="none" w:sz="0" w:space="0" w:color="auto"/>
                                                                    <w:bottom w:val="none" w:sz="0" w:space="0" w:color="auto"/>
                                                                    <w:right w:val="none" w:sz="0" w:space="0" w:color="auto"/>
                                                                  </w:divBdr>
                                                                  <w:divsChild>
                                                                    <w:div w:id="118941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45213578">
      <w:bodyDiv w:val="1"/>
      <w:marLeft w:val="0"/>
      <w:marRight w:val="0"/>
      <w:marTop w:val="0"/>
      <w:marBottom w:val="0"/>
      <w:divBdr>
        <w:top w:val="none" w:sz="0" w:space="0" w:color="auto"/>
        <w:left w:val="none" w:sz="0" w:space="0" w:color="auto"/>
        <w:bottom w:val="none" w:sz="0" w:space="0" w:color="auto"/>
        <w:right w:val="none" w:sz="0" w:space="0" w:color="auto"/>
      </w:divBdr>
    </w:div>
    <w:div w:id="1547796285">
      <w:bodyDiv w:val="1"/>
      <w:marLeft w:val="0"/>
      <w:marRight w:val="0"/>
      <w:marTop w:val="0"/>
      <w:marBottom w:val="0"/>
      <w:divBdr>
        <w:top w:val="none" w:sz="0" w:space="0" w:color="auto"/>
        <w:left w:val="none" w:sz="0" w:space="0" w:color="auto"/>
        <w:bottom w:val="none" w:sz="0" w:space="0" w:color="auto"/>
        <w:right w:val="none" w:sz="0" w:space="0" w:color="auto"/>
      </w:divBdr>
    </w:div>
    <w:div w:id="1659578630">
      <w:bodyDiv w:val="1"/>
      <w:marLeft w:val="0"/>
      <w:marRight w:val="0"/>
      <w:marTop w:val="0"/>
      <w:marBottom w:val="0"/>
      <w:divBdr>
        <w:top w:val="none" w:sz="0" w:space="0" w:color="auto"/>
        <w:left w:val="none" w:sz="0" w:space="0" w:color="auto"/>
        <w:bottom w:val="none" w:sz="0" w:space="0" w:color="auto"/>
        <w:right w:val="none" w:sz="0" w:space="0" w:color="auto"/>
      </w:divBdr>
    </w:div>
    <w:div w:id="1701936692">
      <w:bodyDiv w:val="1"/>
      <w:marLeft w:val="0"/>
      <w:marRight w:val="0"/>
      <w:marTop w:val="0"/>
      <w:marBottom w:val="0"/>
      <w:divBdr>
        <w:top w:val="none" w:sz="0" w:space="0" w:color="auto"/>
        <w:left w:val="none" w:sz="0" w:space="0" w:color="auto"/>
        <w:bottom w:val="none" w:sz="0" w:space="0" w:color="auto"/>
        <w:right w:val="none" w:sz="0" w:space="0" w:color="auto"/>
      </w:divBdr>
      <w:divsChild>
        <w:div w:id="1863588535">
          <w:marLeft w:val="0"/>
          <w:marRight w:val="0"/>
          <w:marTop w:val="0"/>
          <w:marBottom w:val="0"/>
          <w:divBdr>
            <w:top w:val="none" w:sz="0" w:space="0" w:color="auto"/>
            <w:left w:val="none" w:sz="0" w:space="0" w:color="auto"/>
            <w:bottom w:val="none" w:sz="0" w:space="0" w:color="auto"/>
            <w:right w:val="none" w:sz="0" w:space="0" w:color="auto"/>
          </w:divBdr>
          <w:divsChild>
            <w:div w:id="456070595">
              <w:marLeft w:val="0"/>
              <w:marRight w:val="0"/>
              <w:marTop w:val="0"/>
              <w:marBottom w:val="0"/>
              <w:divBdr>
                <w:top w:val="none" w:sz="0" w:space="0" w:color="auto"/>
                <w:left w:val="none" w:sz="0" w:space="0" w:color="auto"/>
                <w:bottom w:val="none" w:sz="0" w:space="0" w:color="auto"/>
                <w:right w:val="none" w:sz="0" w:space="0" w:color="auto"/>
              </w:divBdr>
              <w:divsChild>
                <w:div w:id="555359208">
                  <w:marLeft w:val="0"/>
                  <w:marRight w:val="0"/>
                  <w:marTop w:val="900"/>
                  <w:marBottom w:val="0"/>
                  <w:divBdr>
                    <w:top w:val="none" w:sz="0" w:space="0" w:color="auto"/>
                    <w:left w:val="none" w:sz="0" w:space="0" w:color="auto"/>
                    <w:bottom w:val="none" w:sz="0" w:space="0" w:color="auto"/>
                    <w:right w:val="none" w:sz="0" w:space="0" w:color="auto"/>
                  </w:divBdr>
                  <w:divsChild>
                    <w:div w:id="125047400">
                      <w:marLeft w:val="0"/>
                      <w:marRight w:val="0"/>
                      <w:marTop w:val="0"/>
                      <w:marBottom w:val="0"/>
                      <w:divBdr>
                        <w:top w:val="none" w:sz="0" w:space="0" w:color="auto"/>
                        <w:left w:val="none" w:sz="0" w:space="0" w:color="auto"/>
                        <w:bottom w:val="none" w:sz="0" w:space="0" w:color="auto"/>
                        <w:right w:val="none" w:sz="0" w:space="0" w:color="auto"/>
                      </w:divBdr>
                      <w:divsChild>
                        <w:div w:id="1210610753">
                          <w:marLeft w:val="0"/>
                          <w:marRight w:val="0"/>
                          <w:marTop w:val="0"/>
                          <w:marBottom w:val="0"/>
                          <w:divBdr>
                            <w:top w:val="none" w:sz="0" w:space="0" w:color="auto"/>
                            <w:left w:val="none" w:sz="0" w:space="0" w:color="auto"/>
                            <w:bottom w:val="none" w:sz="0" w:space="0" w:color="auto"/>
                            <w:right w:val="none" w:sz="0" w:space="0" w:color="auto"/>
                          </w:divBdr>
                          <w:divsChild>
                            <w:div w:id="277418901">
                              <w:marLeft w:val="0"/>
                              <w:marRight w:val="0"/>
                              <w:marTop w:val="0"/>
                              <w:marBottom w:val="0"/>
                              <w:divBdr>
                                <w:top w:val="none" w:sz="0" w:space="0" w:color="auto"/>
                                <w:left w:val="none" w:sz="0" w:space="0" w:color="auto"/>
                                <w:bottom w:val="none" w:sz="0" w:space="0" w:color="auto"/>
                                <w:right w:val="none" w:sz="0" w:space="0" w:color="auto"/>
                              </w:divBdr>
                              <w:divsChild>
                                <w:div w:id="1219904834">
                                  <w:marLeft w:val="0"/>
                                  <w:marRight w:val="0"/>
                                  <w:marTop w:val="0"/>
                                  <w:marBottom w:val="600"/>
                                  <w:divBdr>
                                    <w:top w:val="none" w:sz="0" w:space="0" w:color="auto"/>
                                    <w:left w:val="none" w:sz="0" w:space="0" w:color="auto"/>
                                    <w:bottom w:val="none" w:sz="0" w:space="0" w:color="auto"/>
                                    <w:right w:val="none" w:sz="0" w:space="0" w:color="auto"/>
                                  </w:divBdr>
                                  <w:divsChild>
                                    <w:div w:id="176776711">
                                      <w:marLeft w:val="0"/>
                                      <w:marRight w:val="0"/>
                                      <w:marTop w:val="0"/>
                                      <w:marBottom w:val="0"/>
                                      <w:divBdr>
                                        <w:top w:val="none" w:sz="0" w:space="0" w:color="auto"/>
                                        <w:left w:val="none" w:sz="0" w:space="0" w:color="auto"/>
                                        <w:bottom w:val="none" w:sz="0" w:space="0" w:color="auto"/>
                                        <w:right w:val="none" w:sz="0" w:space="0" w:color="auto"/>
                                      </w:divBdr>
                                      <w:divsChild>
                                        <w:div w:id="2075623223">
                                          <w:marLeft w:val="0"/>
                                          <w:marRight w:val="0"/>
                                          <w:marTop w:val="0"/>
                                          <w:marBottom w:val="0"/>
                                          <w:divBdr>
                                            <w:top w:val="none" w:sz="0" w:space="0" w:color="auto"/>
                                            <w:left w:val="none" w:sz="0" w:space="0" w:color="auto"/>
                                            <w:bottom w:val="none" w:sz="0" w:space="0" w:color="auto"/>
                                            <w:right w:val="none" w:sz="0" w:space="0" w:color="auto"/>
                                          </w:divBdr>
                                          <w:divsChild>
                                            <w:div w:id="1351025898">
                                              <w:marLeft w:val="0"/>
                                              <w:marRight w:val="0"/>
                                              <w:marTop w:val="0"/>
                                              <w:marBottom w:val="0"/>
                                              <w:divBdr>
                                                <w:top w:val="none" w:sz="0" w:space="0" w:color="auto"/>
                                                <w:left w:val="none" w:sz="0" w:space="0" w:color="auto"/>
                                                <w:bottom w:val="none" w:sz="0" w:space="0" w:color="auto"/>
                                                <w:right w:val="none" w:sz="0" w:space="0" w:color="auto"/>
                                              </w:divBdr>
                                              <w:divsChild>
                                                <w:div w:id="765148593">
                                                  <w:marLeft w:val="0"/>
                                                  <w:marRight w:val="0"/>
                                                  <w:marTop w:val="0"/>
                                                  <w:marBottom w:val="450"/>
                                                  <w:divBdr>
                                                    <w:top w:val="none" w:sz="0" w:space="0" w:color="auto"/>
                                                    <w:left w:val="none" w:sz="0" w:space="0" w:color="auto"/>
                                                    <w:bottom w:val="none" w:sz="0" w:space="0" w:color="auto"/>
                                                    <w:right w:val="none" w:sz="0" w:space="0" w:color="auto"/>
                                                  </w:divBdr>
                                                  <w:divsChild>
                                                    <w:div w:id="431898960">
                                                      <w:marLeft w:val="0"/>
                                                      <w:marRight w:val="0"/>
                                                      <w:marTop w:val="0"/>
                                                      <w:marBottom w:val="225"/>
                                                      <w:divBdr>
                                                        <w:top w:val="none" w:sz="0" w:space="0" w:color="auto"/>
                                                        <w:left w:val="none" w:sz="0" w:space="0" w:color="auto"/>
                                                        <w:bottom w:val="none" w:sz="0" w:space="0" w:color="auto"/>
                                                        <w:right w:val="none" w:sz="0" w:space="0" w:color="auto"/>
                                                      </w:divBdr>
                                                      <w:divsChild>
                                                        <w:div w:id="1603680087">
                                                          <w:marLeft w:val="0"/>
                                                          <w:marRight w:val="0"/>
                                                          <w:marTop w:val="0"/>
                                                          <w:marBottom w:val="0"/>
                                                          <w:divBdr>
                                                            <w:top w:val="none" w:sz="0" w:space="0" w:color="auto"/>
                                                            <w:left w:val="none" w:sz="0" w:space="0" w:color="auto"/>
                                                            <w:bottom w:val="none" w:sz="0" w:space="0" w:color="auto"/>
                                                            <w:right w:val="none" w:sz="0" w:space="0" w:color="auto"/>
                                                          </w:divBdr>
                                                          <w:divsChild>
                                                            <w:div w:id="1234271607">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31151626">
      <w:bodyDiv w:val="1"/>
      <w:marLeft w:val="0"/>
      <w:marRight w:val="0"/>
      <w:marTop w:val="0"/>
      <w:marBottom w:val="0"/>
      <w:divBdr>
        <w:top w:val="none" w:sz="0" w:space="0" w:color="auto"/>
        <w:left w:val="none" w:sz="0" w:space="0" w:color="auto"/>
        <w:bottom w:val="none" w:sz="0" w:space="0" w:color="auto"/>
        <w:right w:val="none" w:sz="0" w:space="0" w:color="auto"/>
      </w:divBdr>
      <w:divsChild>
        <w:div w:id="1024745138">
          <w:marLeft w:val="0"/>
          <w:marRight w:val="0"/>
          <w:marTop w:val="0"/>
          <w:marBottom w:val="0"/>
          <w:divBdr>
            <w:top w:val="none" w:sz="0" w:space="0" w:color="auto"/>
            <w:left w:val="none" w:sz="0" w:space="0" w:color="auto"/>
            <w:bottom w:val="none" w:sz="0" w:space="0" w:color="auto"/>
            <w:right w:val="none" w:sz="0" w:space="0" w:color="auto"/>
          </w:divBdr>
          <w:divsChild>
            <w:div w:id="777869920">
              <w:marLeft w:val="0"/>
              <w:marRight w:val="0"/>
              <w:marTop w:val="0"/>
              <w:marBottom w:val="0"/>
              <w:divBdr>
                <w:top w:val="none" w:sz="0" w:space="0" w:color="auto"/>
                <w:left w:val="none" w:sz="0" w:space="0" w:color="auto"/>
                <w:bottom w:val="none" w:sz="0" w:space="0" w:color="auto"/>
                <w:right w:val="none" w:sz="0" w:space="0" w:color="auto"/>
              </w:divBdr>
              <w:divsChild>
                <w:div w:id="1121538278">
                  <w:marLeft w:val="0"/>
                  <w:marRight w:val="0"/>
                  <w:marTop w:val="0"/>
                  <w:marBottom w:val="0"/>
                  <w:divBdr>
                    <w:top w:val="none" w:sz="0" w:space="0" w:color="auto"/>
                    <w:left w:val="none" w:sz="0" w:space="0" w:color="auto"/>
                    <w:bottom w:val="none" w:sz="0" w:space="0" w:color="auto"/>
                    <w:right w:val="none" w:sz="0" w:space="0" w:color="auto"/>
                  </w:divBdr>
                  <w:divsChild>
                    <w:div w:id="1368332985">
                      <w:marLeft w:val="0"/>
                      <w:marRight w:val="0"/>
                      <w:marTop w:val="225"/>
                      <w:marBottom w:val="0"/>
                      <w:divBdr>
                        <w:top w:val="none" w:sz="0" w:space="0" w:color="auto"/>
                        <w:left w:val="none" w:sz="0" w:space="0" w:color="auto"/>
                        <w:bottom w:val="none" w:sz="0" w:space="0" w:color="auto"/>
                        <w:right w:val="none" w:sz="0" w:space="0" w:color="auto"/>
                      </w:divBdr>
                      <w:divsChild>
                        <w:div w:id="1263031129">
                          <w:marLeft w:val="0"/>
                          <w:marRight w:val="0"/>
                          <w:marTop w:val="0"/>
                          <w:marBottom w:val="0"/>
                          <w:divBdr>
                            <w:top w:val="none" w:sz="0" w:space="0" w:color="auto"/>
                            <w:left w:val="none" w:sz="0" w:space="0" w:color="auto"/>
                            <w:bottom w:val="none" w:sz="0" w:space="0" w:color="auto"/>
                            <w:right w:val="none" w:sz="0" w:space="0" w:color="auto"/>
                          </w:divBdr>
                          <w:divsChild>
                            <w:div w:id="1534415796">
                              <w:marLeft w:val="0"/>
                              <w:marRight w:val="0"/>
                              <w:marTop w:val="0"/>
                              <w:marBottom w:val="0"/>
                              <w:divBdr>
                                <w:top w:val="none" w:sz="0" w:space="0" w:color="auto"/>
                                <w:left w:val="none" w:sz="0" w:space="0" w:color="auto"/>
                                <w:bottom w:val="none" w:sz="0" w:space="0" w:color="auto"/>
                                <w:right w:val="none" w:sz="0" w:space="0" w:color="auto"/>
                              </w:divBdr>
                              <w:divsChild>
                                <w:div w:id="2103260453">
                                  <w:marLeft w:val="0"/>
                                  <w:marRight w:val="0"/>
                                  <w:marTop w:val="0"/>
                                  <w:marBottom w:val="0"/>
                                  <w:divBdr>
                                    <w:top w:val="none" w:sz="0" w:space="0" w:color="auto"/>
                                    <w:left w:val="none" w:sz="0" w:space="0" w:color="auto"/>
                                    <w:bottom w:val="none" w:sz="0" w:space="0" w:color="auto"/>
                                    <w:right w:val="none" w:sz="0" w:space="0" w:color="auto"/>
                                  </w:divBdr>
                                  <w:divsChild>
                                    <w:div w:id="731347917">
                                      <w:marLeft w:val="0"/>
                                      <w:marRight w:val="0"/>
                                      <w:marTop w:val="0"/>
                                      <w:marBottom w:val="0"/>
                                      <w:divBdr>
                                        <w:top w:val="none" w:sz="0" w:space="0" w:color="auto"/>
                                        <w:left w:val="none" w:sz="0" w:space="0" w:color="auto"/>
                                        <w:bottom w:val="none" w:sz="0" w:space="0" w:color="auto"/>
                                        <w:right w:val="none" w:sz="0" w:space="0" w:color="auto"/>
                                      </w:divBdr>
                                      <w:divsChild>
                                        <w:div w:id="315884862">
                                          <w:marLeft w:val="0"/>
                                          <w:marRight w:val="0"/>
                                          <w:marTop w:val="0"/>
                                          <w:marBottom w:val="0"/>
                                          <w:divBdr>
                                            <w:top w:val="none" w:sz="0" w:space="0" w:color="auto"/>
                                            <w:left w:val="none" w:sz="0" w:space="0" w:color="auto"/>
                                            <w:bottom w:val="none" w:sz="0" w:space="0" w:color="auto"/>
                                            <w:right w:val="none" w:sz="0" w:space="0" w:color="auto"/>
                                          </w:divBdr>
                                          <w:divsChild>
                                            <w:div w:id="875854533">
                                              <w:marLeft w:val="0"/>
                                              <w:marRight w:val="0"/>
                                              <w:marTop w:val="120"/>
                                              <w:marBottom w:val="0"/>
                                              <w:divBdr>
                                                <w:top w:val="none" w:sz="0" w:space="0" w:color="auto"/>
                                                <w:left w:val="none" w:sz="0" w:space="0" w:color="auto"/>
                                                <w:bottom w:val="none" w:sz="0" w:space="0" w:color="auto"/>
                                                <w:right w:val="none" w:sz="0" w:space="0" w:color="auto"/>
                                              </w:divBdr>
                                              <w:divsChild>
                                                <w:div w:id="1401362128">
                                                  <w:marLeft w:val="0"/>
                                                  <w:marRight w:val="0"/>
                                                  <w:marTop w:val="0"/>
                                                  <w:marBottom w:val="0"/>
                                                  <w:divBdr>
                                                    <w:top w:val="none" w:sz="0" w:space="0" w:color="auto"/>
                                                    <w:left w:val="none" w:sz="0" w:space="0" w:color="auto"/>
                                                    <w:bottom w:val="none" w:sz="0" w:space="0" w:color="auto"/>
                                                    <w:right w:val="none" w:sz="0" w:space="0" w:color="auto"/>
                                                  </w:divBdr>
                                                </w:div>
                                              </w:divsChild>
                                            </w:div>
                                            <w:div w:id="21303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2212071">
      <w:bodyDiv w:val="1"/>
      <w:marLeft w:val="0"/>
      <w:marRight w:val="0"/>
      <w:marTop w:val="0"/>
      <w:marBottom w:val="0"/>
      <w:divBdr>
        <w:top w:val="none" w:sz="0" w:space="0" w:color="auto"/>
        <w:left w:val="none" w:sz="0" w:space="0" w:color="auto"/>
        <w:bottom w:val="none" w:sz="0" w:space="0" w:color="auto"/>
        <w:right w:val="none" w:sz="0" w:space="0" w:color="auto"/>
      </w:divBdr>
    </w:div>
    <w:div w:id="1829049728">
      <w:bodyDiv w:val="1"/>
      <w:marLeft w:val="0"/>
      <w:marRight w:val="0"/>
      <w:marTop w:val="0"/>
      <w:marBottom w:val="0"/>
      <w:divBdr>
        <w:top w:val="none" w:sz="0" w:space="0" w:color="auto"/>
        <w:left w:val="none" w:sz="0" w:space="0" w:color="auto"/>
        <w:bottom w:val="none" w:sz="0" w:space="0" w:color="auto"/>
        <w:right w:val="none" w:sz="0" w:space="0" w:color="auto"/>
      </w:divBdr>
    </w:div>
    <w:div w:id="1865902302">
      <w:bodyDiv w:val="1"/>
      <w:marLeft w:val="0"/>
      <w:marRight w:val="0"/>
      <w:marTop w:val="0"/>
      <w:marBottom w:val="0"/>
      <w:divBdr>
        <w:top w:val="none" w:sz="0" w:space="0" w:color="auto"/>
        <w:left w:val="none" w:sz="0" w:space="0" w:color="auto"/>
        <w:bottom w:val="none" w:sz="0" w:space="0" w:color="auto"/>
        <w:right w:val="none" w:sz="0" w:space="0" w:color="auto"/>
      </w:divBdr>
    </w:div>
    <w:div w:id="1930236705">
      <w:bodyDiv w:val="1"/>
      <w:marLeft w:val="0"/>
      <w:marRight w:val="0"/>
      <w:marTop w:val="0"/>
      <w:marBottom w:val="0"/>
      <w:divBdr>
        <w:top w:val="none" w:sz="0" w:space="0" w:color="auto"/>
        <w:left w:val="none" w:sz="0" w:space="0" w:color="auto"/>
        <w:bottom w:val="none" w:sz="0" w:space="0" w:color="auto"/>
        <w:right w:val="none" w:sz="0" w:space="0" w:color="auto"/>
      </w:divBdr>
      <w:divsChild>
        <w:div w:id="658927009">
          <w:marLeft w:val="0"/>
          <w:marRight w:val="0"/>
          <w:marTop w:val="0"/>
          <w:marBottom w:val="0"/>
          <w:divBdr>
            <w:top w:val="none" w:sz="0" w:space="0" w:color="auto"/>
            <w:left w:val="none" w:sz="0" w:space="0" w:color="auto"/>
            <w:bottom w:val="none" w:sz="0" w:space="0" w:color="auto"/>
            <w:right w:val="none" w:sz="0" w:space="0" w:color="auto"/>
          </w:divBdr>
          <w:divsChild>
            <w:div w:id="809438844">
              <w:marLeft w:val="0"/>
              <w:marRight w:val="0"/>
              <w:marTop w:val="0"/>
              <w:marBottom w:val="0"/>
              <w:divBdr>
                <w:top w:val="none" w:sz="0" w:space="0" w:color="auto"/>
                <w:left w:val="none" w:sz="0" w:space="0" w:color="auto"/>
                <w:bottom w:val="none" w:sz="0" w:space="0" w:color="auto"/>
                <w:right w:val="none" w:sz="0" w:space="0" w:color="auto"/>
              </w:divBdr>
              <w:divsChild>
                <w:div w:id="220989468">
                  <w:marLeft w:val="0"/>
                  <w:marRight w:val="0"/>
                  <w:marTop w:val="0"/>
                  <w:marBottom w:val="0"/>
                  <w:divBdr>
                    <w:top w:val="none" w:sz="0" w:space="0" w:color="auto"/>
                    <w:left w:val="none" w:sz="0" w:space="0" w:color="auto"/>
                    <w:bottom w:val="none" w:sz="0" w:space="0" w:color="auto"/>
                    <w:right w:val="none" w:sz="0" w:space="0" w:color="auto"/>
                  </w:divBdr>
                  <w:divsChild>
                    <w:div w:id="688525971">
                      <w:marLeft w:val="0"/>
                      <w:marRight w:val="0"/>
                      <w:marTop w:val="225"/>
                      <w:marBottom w:val="0"/>
                      <w:divBdr>
                        <w:top w:val="none" w:sz="0" w:space="0" w:color="auto"/>
                        <w:left w:val="none" w:sz="0" w:space="0" w:color="auto"/>
                        <w:bottom w:val="none" w:sz="0" w:space="0" w:color="auto"/>
                        <w:right w:val="none" w:sz="0" w:space="0" w:color="auto"/>
                      </w:divBdr>
                      <w:divsChild>
                        <w:div w:id="238906944">
                          <w:marLeft w:val="0"/>
                          <w:marRight w:val="0"/>
                          <w:marTop w:val="0"/>
                          <w:marBottom w:val="0"/>
                          <w:divBdr>
                            <w:top w:val="none" w:sz="0" w:space="0" w:color="auto"/>
                            <w:left w:val="none" w:sz="0" w:space="0" w:color="auto"/>
                            <w:bottom w:val="none" w:sz="0" w:space="0" w:color="auto"/>
                            <w:right w:val="none" w:sz="0" w:space="0" w:color="auto"/>
                          </w:divBdr>
                          <w:divsChild>
                            <w:div w:id="834801081">
                              <w:marLeft w:val="0"/>
                              <w:marRight w:val="0"/>
                              <w:marTop w:val="0"/>
                              <w:marBottom w:val="0"/>
                              <w:divBdr>
                                <w:top w:val="none" w:sz="0" w:space="0" w:color="auto"/>
                                <w:left w:val="none" w:sz="0" w:space="0" w:color="auto"/>
                                <w:bottom w:val="none" w:sz="0" w:space="0" w:color="auto"/>
                                <w:right w:val="none" w:sz="0" w:space="0" w:color="auto"/>
                              </w:divBdr>
                              <w:divsChild>
                                <w:div w:id="1064985625">
                                  <w:marLeft w:val="0"/>
                                  <w:marRight w:val="0"/>
                                  <w:marTop w:val="0"/>
                                  <w:marBottom w:val="0"/>
                                  <w:divBdr>
                                    <w:top w:val="none" w:sz="0" w:space="0" w:color="auto"/>
                                    <w:left w:val="none" w:sz="0" w:space="0" w:color="auto"/>
                                    <w:bottom w:val="none" w:sz="0" w:space="0" w:color="auto"/>
                                    <w:right w:val="none" w:sz="0" w:space="0" w:color="auto"/>
                                  </w:divBdr>
                                  <w:divsChild>
                                    <w:div w:id="263995340">
                                      <w:marLeft w:val="0"/>
                                      <w:marRight w:val="0"/>
                                      <w:marTop w:val="0"/>
                                      <w:marBottom w:val="0"/>
                                      <w:divBdr>
                                        <w:top w:val="none" w:sz="0" w:space="0" w:color="auto"/>
                                        <w:left w:val="none" w:sz="0" w:space="0" w:color="auto"/>
                                        <w:bottom w:val="none" w:sz="0" w:space="0" w:color="auto"/>
                                        <w:right w:val="none" w:sz="0" w:space="0" w:color="auto"/>
                                      </w:divBdr>
                                      <w:divsChild>
                                        <w:div w:id="101805858">
                                          <w:marLeft w:val="0"/>
                                          <w:marRight w:val="0"/>
                                          <w:marTop w:val="0"/>
                                          <w:marBottom w:val="0"/>
                                          <w:divBdr>
                                            <w:top w:val="none" w:sz="0" w:space="0" w:color="auto"/>
                                            <w:left w:val="none" w:sz="0" w:space="0" w:color="auto"/>
                                            <w:bottom w:val="none" w:sz="0" w:space="0" w:color="auto"/>
                                            <w:right w:val="none" w:sz="0" w:space="0" w:color="auto"/>
                                          </w:divBdr>
                                          <w:divsChild>
                                            <w:div w:id="109362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2435666">
      <w:bodyDiv w:val="1"/>
      <w:marLeft w:val="0"/>
      <w:marRight w:val="0"/>
      <w:marTop w:val="0"/>
      <w:marBottom w:val="0"/>
      <w:divBdr>
        <w:top w:val="none" w:sz="0" w:space="0" w:color="auto"/>
        <w:left w:val="none" w:sz="0" w:space="0" w:color="auto"/>
        <w:bottom w:val="none" w:sz="0" w:space="0" w:color="auto"/>
        <w:right w:val="none" w:sz="0" w:space="0" w:color="auto"/>
      </w:divBdr>
      <w:divsChild>
        <w:div w:id="2139257931">
          <w:marLeft w:val="0"/>
          <w:marRight w:val="0"/>
          <w:marTop w:val="0"/>
          <w:marBottom w:val="0"/>
          <w:divBdr>
            <w:top w:val="none" w:sz="0" w:space="0" w:color="auto"/>
            <w:left w:val="none" w:sz="0" w:space="0" w:color="auto"/>
            <w:bottom w:val="none" w:sz="0" w:space="0" w:color="auto"/>
            <w:right w:val="none" w:sz="0" w:space="0" w:color="auto"/>
          </w:divBdr>
          <w:divsChild>
            <w:div w:id="282809386">
              <w:marLeft w:val="0"/>
              <w:marRight w:val="0"/>
              <w:marTop w:val="0"/>
              <w:marBottom w:val="0"/>
              <w:divBdr>
                <w:top w:val="none" w:sz="0" w:space="0" w:color="auto"/>
                <w:left w:val="none" w:sz="0" w:space="0" w:color="auto"/>
                <w:bottom w:val="none" w:sz="0" w:space="0" w:color="auto"/>
                <w:right w:val="none" w:sz="0" w:space="0" w:color="auto"/>
              </w:divBdr>
              <w:divsChild>
                <w:div w:id="721027503">
                  <w:marLeft w:val="0"/>
                  <w:marRight w:val="0"/>
                  <w:marTop w:val="0"/>
                  <w:marBottom w:val="0"/>
                  <w:divBdr>
                    <w:top w:val="none" w:sz="0" w:space="0" w:color="auto"/>
                    <w:left w:val="none" w:sz="0" w:space="0" w:color="auto"/>
                    <w:bottom w:val="none" w:sz="0" w:space="0" w:color="auto"/>
                    <w:right w:val="none" w:sz="0" w:space="0" w:color="auto"/>
                  </w:divBdr>
                  <w:divsChild>
                    <w:div w:id="1667681">
                      <w:marLeft w:val="0"/>
                      <w:marRight w:val="0"/>
                      <w:marTop w:val="225"/>
                      <w:marBottom w:val="0"/>
                      <w:divBdr>
                        <w:top w:val="none" w:sz="0" w:space="0" w:color="auto"/>
                        <w:left w:val="none" w:sz="0" w:space="0" w:color="auto"/>
                        <w:bottom w:val="none" w:sz="0" w:space="0" w:color="auto"/>
                        <w:right w:val="none" w:sz="0" w:space="0" w:color="auto"/>
                      </w:divBdr>
                      <w:divsChild>
                        <w:div w:id="527990070">
                          <w:marLeft w:val="0"/>
                          <w:marRight w:val="0"/>
                          <w:marTop w:val="0"/>
                          <w:marBottom w:val="0"/>
                          <w:divBdr>
                            <w:top w:val="none" w:sz="0" w:space="0" w:color="auto"/>
                            <w:left w:val="none" w:sz="0" w:space="0" w:color="auto"/>
                            <w:bottom w:val="none" w:sz="0" w:space="0" w:color="auto"/>
                            <w:right w:val="none" w:sz="0" w:space="0" w:color="auto"/>
                          </w:divBdr>
                          <w:divsChild>
                            <w:div w:id="868183602">
                              <w:marLeft w:val="0"/>
                              <w:marRight w:val="0"/>
                              <w:marTop w:val="0"/>
                              <w:marBottom w:val="0"/>
                              <w:divBdr>
                                <w:top w:val="none" w:sz="0" w:space="0" w:color="auto"/>
                                <w:left w:val="none" w:sz="0" w:space="0" w:color="auto"/>
                                <w:bottom w:val="none" w:sz="0" w:space="0" w:color="auto"/>
                                <w:right w:val="none" w:sz="0" w:space="0" w:color="auto"/>
                              </w:divBdr>
                              <w:divsChild>
                                <w:div w:id="636112272">
                                  <w:marLeft w:val="0"/>
                                  <w:marRight w:val="0"/>
                                  <w:marTop w:val="0"/>
                                  <w:marBottom w:val="0"/>
                                  <w:divBdr>
                                    <w:top w:val="none" w:sz="0" w:space="0" w:color="auto"/>
                                    <w:left w:val="none" w:sz="0" w:space="0" w:color="auto"/>
                                    <w:bottom w:val="none" w:sz="0" w:space="0" w:color="auto"/>
                                    <w:right w:val="none" w:sz="0" w:space="0" w:color="auto"/>
                                  </w:divBdr>
                                  <w:divsChild>
                                    <w:div w:id="1871993773">
                                      <w:marLeft w:val="0"/>
                                      <w:marRight w:val="0"/>
                                      <w:marTop w:val="0"/>
                                      <w:marBottom w:val="0"/>
                                      <w:divBdr>
                                        <w:top w:val="none" w:sz="0" w:space="0" w:color="auto"/>
                                        <w:left w:val="none" w:sz="0" w:space="0" w:color="auto"/>
                                        <w:bottom w:val="none" w:sz="0" w:space="0" w:color="auto"/>
                                        <w:right w:val="none" w:sz="0" w:space="0" w:color="auto"/>
                                      </w:divBdr>
                                      <w:divsChild>
                                        <w:div w:id="910120101">
                                          <w:marLeft w:val="0"/>
                                          <w:marRight w:val="0"/>
                                          <w:marTop w:val="0"/>
                                          <w:marBottom w:val="0"/>
                                          <w:divBdr>
                                            <w:top w:val="none" w:sz="0" w:space="0" w:color="auto"/>
                                            <w:left w:val="none" w:sz="0" w:space="0" w:color="auto"/>
                                            <w:bottom w:val="none" w:sz="0" w:space="0" w:color="auto"/>
                                            <w:right w:val="none" w:sz="0" w:space="0" w:color="auto"/>
                                          </w:divBdr>
                                          <w:divsChild>
                                            <w:div w:id="891577141">
                                              <w:marLeft w:val="0"/>
                                              <w:marRight w:val="0"/>
                                              <w:marTop w:val="0"/>
                                              <w:marBottom w:val="0"/>
                                              <w:divBdr>
                                                <w:top w:val="none" w:sz="0" w:space="0" w:color="auto"/>
                                                <w:left w:val="none" w:sz="0" w:space="0" w:color="auto"/>
                                                <w:bottom w:val="none" w:sz="0" w:space="0" w:color="auto"/>
                                                <w:right w:val="none" w:sz="0" w:space="0" w:color="auto"/>
                                              </w:divBdr>
                                              <w:divsChild>
                                                <w:div w:id="27948173">
                                                  <w:marLeft w:val="0"/>
                                                  <w:marRight w:val="0"/>
                                                  <w:marTop w:val="0"/>
                                                  <w:marBottom w:val="0"/>
                                                  <w:divBdr>
                                                    <w:top w:val="none" w:sz="0" w:space="0" w:color="auto"/>
                                                    <w:left w:val="none" w:sz="0" w:space="0" w:color="auto"/>
                                                    <w:bottom w:val="none" w:sz="0" w:space="0" w:color="auto"/>
                                                    <w:right w:val="none" w:sz="0" w:space="0" w:color="auto"/>
                                                  </w:divBdr>
                                                </w:div>
                                                <w:div w:id="1748065651">
                                                  <w:marLeft w:val="0"/>
                                                  <w:marRight w:val="0"/>
                                                  <w:marTop w:val="0"/>
                                                  <w:marBottom w:val="0"/>
                                                  <w:divBdr>
                                                    <w:top w:val="none" w:sz="0" w:space="0" w:color="auto"/>
                                                    <w:left w:val="none" w:sz="0" w:space="0" w:color="auto"/>
                                                    <w:bottom w:val="none" w:sz="0" w:space="0" w:color="auto"/>
                                                    <w:right w:val="none" w:sz="0" w:space="0" w:color="auto"/>
                                                  </w:divBdr>
                                                </w:div>
                                              </w:divsChild>
                                            </w:div>
                                            <w:div w:id="408885121">
                                              <w:marLeft w:val="0"/>
                                              <w:marRight w:val="150"/>
                                              <w:marTop w:val="0"/>
                                              <w:marBottom w:val="0"/>
                                              <w:divBdr>
                                                <w:top w:val="none" w:sz="0" w:space="0" w:color="auto"/>
                                                <w:left w:val="none" w:sz="0" w:space="0" w:color="auto"/>
                                                <w:bottom w:val="none" w:sz="0" w:space="0" w:color="auto"/>
                                                <w:right w:val="none" w:sz="0" w:space="0" w:color="auto"/>
                                              </w:divBdr>
                                            </w:div>
                                            <w:div w:id="2040201836">
                                              <w:marLeft w:val="0"/>
                                              <w:marRight w:val="0"/>
                                              <w:marTop w:val="0"/>
                                              <w:marBottom w:val="0"/>
                                              <w:divBdr>
                                                <w:top w:val="none" w:sz="0" w:space="0" w:color="auto"/>
                                                <w:left w:val="none" w:sz="0" w:space="0" w:color="auto"/>
                                                <w:bottom w:val="none" w:sz="0" w:space="0" w:color="auto"/>
                                                <w:right w:val="none" w:sz="0" w:space="0" w:color="auto"/>
                                              </w:divBdr>
                                              <w:divsChild>
                                                <w:div w:id="1767263429">
                                                  <w:marLeft w:val="0"/>
                                                  <w:marRight w:val="0"/>
                                                  <w:marTop w:val="0"/>
                                                  <w:marBottom w:val="0"/>
                                                  <w:divBdr>
                                                    <w:top w:val="none" w:sz="0" w:space="0" w:color="auto"/>
                                                    <w:left w:val="none" w:sz="0" w:space="0" w:color="auto"/>
                                                    <w:bottom w:val="none" w:sz="0" w:space="0" w:color="auto"/>
                                                    <w:right w:val="none" w:sz="0" w:space="0" w:color="auto"/>
                                                  </w:divBdr>
                                                  <w:divsChild>
                                                    <w:div w:id="1189102292">
                                                      <w:marLeft w:val="0"/>
                                                      <w:marRight w:val="0"/>
                                                      <w:marTop w:val="0"/>
                                                      <w:marBottom w:val="0"/>
                                                      <w:divBdr>
                                                        <w:top w:val="none" w:sz="0" w:space="0" w:color="auto"/>
                                                        <w:left w:val="none" w:sz="0" w:space="0" w:color="auto"/>
                                                        <w:bottom w:val="none" w:sz="0" w:space="0" w:color="auto"/>
                                                        <w:right w:val="none" w:sz="0" w:space="0" w:color="auto"/>
                                                      </w:divBdr>
                                                      <w:divsChild>
                                                        <w:div w:id="1791244787">
                                                          <w:marLeft w:val="0"/>
                                                          <w:marRight w:val="0"/>
                                                          <w:marTop w:val="0"/>
                                                          <w:marBottom w:val="0"/>
                                                          <w:divBdr>
                                                            <w:top w:val="none" w:sz="0" w:space="0" w:color="auto"/>
                                                            <w:left w:val="none" w:sz="0" w:space="0" w:color="auto"/>
                                                            <w:bottom w:val="none" w:sz="0" w:space="0" w:color="auto"/>
                                                            <w:right w:val="none" w:sz="0" w:space="0" w:color="auto"/>
                                                          </w:divBdr>
                                                          <w:divsChild>
                                                            <w:div w:id="712382865">
                                                              <w:marLeft w:val="0"/>
                                                              <w:marRight w:val="0"/>
                                                              <w:marTop w:val="0"/>
                                                              <w:marBottom w:val="0"/>
                                                              <w:divBdr>
                                                                <w:top w:val="none" w:sz="0" w:space="0" w:color="auto"/>
                                                                <w:left w:val="none" w:sz="0" w:space="0" w:color="auto"/>
                                                                <w:bottom w:val="none" w:sz="0" w:space="0" w:color="auto"/>
                                                                <w:right w:val="none" w:sz="0" w:space="0" w:color="auto"/>
                                                              </w:divBdr>
                                                              <w:divsChild>
                                                                <w:div w:id="297535726">
                                                                  <w:marLeft w:val="0"/>
                                                                  <w:marRight w:val="0"/>
                                                                  <w:marTop w:val="0"/>
                                                                  <w:marBottom w:val="0"/>
                                                                  <w:divBdr>
                                                                    <w:top w:val="none" w:sz="0" w:space="0" w:color="auto"/>
                                                                    <w:left w:val="none" w:sz="0" w:space="0" w:color="auto"/>
                                                                    <w:bottom w:val="none" w:sz="0" w:space="0" w:color="auto"/>
                                                                    <w:right w:val="none" w:sz="0" w:space="0" w:color="auto"/>
                                                                  </w:divBdr>
                                                                  <w:divsChild>
                                                                    <w:div w:id="194195189">
                                                                      <w:marLeft w:val="0"/>
                                                                      <w:marRight w:val="0"/>
                                                                      <w:marTop w:val="0"/>
                                                                      <w:marBottom w:val="0"/>
                                                                      <w:divBdr>
                                                                        <w:top w:val="none" w:sz="0" w:space="0" w:color="auto"/>
                                                                        <w:left w:val="none" w:sz="0" w:space="0" w:color="auto"/>
                                                                        <w:bottom w:val="none" w:sz="0" w:space="0" w:color="auto"/>
                                                                        <w:right w:val="none" w:sz="0" w:space="0" w:color="auto"/>
                                                                      </w:divBdr>
                                                                      <w:divsChild>
                                                                        <w:div w:id="445664388">
                                                                          <w:marLeft w:val="0"/>
                                                                          <w:marRight w:val="0"/>
                                                                          <w:marTop w:val="0"/>
                                                                          <w:marBottom w:val="0"/>
                                                                          <w:divBdr>
                                                                            <w:top w:val="none" w:sz="0" w:space="0" w:color="auto"/>
                                                                            <w:left w:val="none" w:sz="0" w:space="0" w:color="auto"/>
                                                                            <w:bottom w:val="none" w:sz="0" w:space="0" w:color="auto"/>
                                                                            <w:right w:val="none" w:sz="0" w:space="0" w:color="auto"/>
                                                                          </w:divBdr>
                                                                          <w:divsChild>
                                                                            <w:div w:id="7502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359415">
                                              <w:marLeft w:val="0"/>
                                              <w:marRight w:val="0"/>
                                              <w:marTop w:val="0"/>
                                              <w:marBottom w:val="0"/>
                                              <w:divBdr>
                                                <w:top w:val="none" w:sz="0" w:space="0" w:color="auto"/>
                                                <w:left w:val="none" w:sz="0" w:space="0" w:color="auto"/>
                                                <w:bottom w:val="none" w:sz="0" w:space="0" w:color="auto"/>
                                                <w:right w:val="none" w:sz="0" w:space="0" w:color="auto"/>
                                              </w:divBdr>
                                              <w:divsChild>
                                                <w:div w:id="587933453">
                                                  <w:marLeft w:val="0"/>
                                                  <w:marRight w:val="0"/>
                                                  <w:marTop w:val="0"/>
                                                  <w:marBottom w:val="0"/>
                                                  <w:divBdr>
                                                    <w:top w:val="none" w:sz="0" w:space="0" w:color="auto"/>
                                                    <w:left w:val="none" w:sz="0" w:space="0" w:color="auto"/>
                                                    <w:bottom w:val="none" w:sz="0" w:space="0" w:color="auto"/>
                                                    <w:right w:val="none" w:sz="0" w:space="0" w:color="auto"/>
                                                  </w:divBdr>
                                                  <w:divsChild>
                                                    <w:div w:id="867716876">
                                                      <w:marLeft w:val="0"/>
                                                      <w:marRight w:val="0"/>
                                                      <w:marTop w:val="0"/>
                                                      <w:marBottom w:val="0"/>
                                                      <w:divBdr>
                                                        <w:top w:val="none" w:sz="0" w:space="0" w:color="auto"/>
                                                        <w:left w:val="none" w:sz="0" w:space="0" w:color="auto"/>
                                                        <w:bottom w:val="none" w:sz="0" w:space="0" w:color="auto"/>
                                                        <w:right w:val="none" w:sz="0" w:space="0" w:color="auto"/>
                                                      </w:divBdr>
                                                      <w:divsChild>
                                                        <w:div w:id="880480446">
                                                          <w:marLeft w:val="0"/>
                                                          <w:marRight w:val="0"/>
                                                          <w:marTop w:val="0"/>
                                                          <w:marBottom w:val="0"/>
                                                          <w:divBdr>
                                                            <w:top w:val="none" w:sz="0" w:space="0" w:color="auto"/>
                                                            <w:left w:val="none" w:sz="0" w:space="0" w:color="auto"/>
                                                            <w:bottom w:val="none" w:sz="0" w:space="0" w:color="auto"/>
                                                            <w:right w:val="none" w:sz="0" w:space="0" w:color="auto"/>
                                                          </w:divBdr>
                                                        </w:div>
                                                        <w:div w:id="1457796896">
                                                          <w:marLeft w:val="0"/>
                                                          <w:marRight w:val="0"/>
                                                          <w:marTop w:val="0"/>
                                                          <w:marBottom w:val="0"/>
                                                          <w:divBdr>
                                                            <w:top w:val="none" w:sz="0" w:space="0" w:color="auto"/>
                                                            <w:left w:val="none" w:sz="0" w:space="0" w:color="auto"/>
                                                            <w:bottom w:val="none" w:sz="0" w:space="0" w:color="auto"/>
                                                            <w:right w:val="none" w:sz="0" w:space="0" w:color="auto"/>
                                                          </w:divBdr>
                                                        </w:div>
                                                        <w:div w:id="1424032055">
                                                          <w:marLeft w:val="0"/>
                                                          <w:marRight w:val="0"/>
                                                          <w:marTop w:val="0"/>
                                                          <w:marBottom w:val="0"/>
                                                          <w:divBdr>
                                                            <w:top w:val="none" w:sz="0" w:space="0" w:color="auto"/>
                                                            <w:left w:val="none" w:sz="0" w:space="0" w:color="auto"/>
                                                            <w:bottom w:val="none" w:sz="0" w:space="0" w:color="auto"/>
                                                            <w:right w:val="none" w:sz="0" w:space="0" w:color="auto"/>
                                                          </w:divBdr>
                                                        </w:div>
                                                      </w:divsChild>
                                                    </w:div>
                                                    <w:div w:id="777338465">
                                                      <w:marLeft w:val="0"/>
                                                      <w:marRight w:val="0"/>
                                                      <w:marTop w:val="0"/>
                                                      <w:marBottom w:val="0"/>
                                                      <w:divBdr>
                                                        <w:top w:val="none" w:sz="0" w:space="0" w:color="auto"/>
                                                        <w:left w:val="none" w:sz="0" w:space="0" w:color="auto"/>
                                                        <w:bottom w:val="none" w:sz="0" w:space="0" w:color="auto"/>
                                                        <w:right w:val="none" w:sz="0" w:space="0" w:color="auto"/>
                                                      </w:divBdr>
                                                      <w:divsChild>
                                                        <w:div w:id="346837191">
                                                          <w:marLeft w:val="0"/>
                                                          <w:marRight w:val="0"/>
                                                          <w:marTop w:val="0"/>
                                                          <w:marBottom w:val="0"/>
                                                          <w:divBdr>
                                                            <w:top w:val="none" w:sz="0" w:space="0" w:color="auto"/>
                                                            <w:left w:val="none" w:sz="0" w:space="0" w:color="auto"/>
                                                            <w:bottom w:val="none" w:sz="0" w:space="0" w:color="auto"/>
                                                            <w:right w:val="none" w:sz="0" w:space="0" w:color="auto"/>
                                                          </w:divBdr>
                                                        </w:div>
                                                        <w:div w:id="2001077031">
                                                          <w:marLeft w:val="0"/>
                                                          <w:marRight w:val="0"/>
                                                          <w:marTop w:val="0"/>
                                                          <w:marBottom w:val="0"/>
                                                          <w:divBdr>
                                                            <w:top w:val="none" w:sz="0" w:space="0" w:color="auto"/>
                                                            <w:left w:val="none" w:sz="0" w:space="0" w:color="auto"/>
                                                            <w:bottom w:val="none" w:sz="0" w:space="0" w:color="auto"/>
                                                            <w:right w:val="none" w:sz="0" w:space="0" w:color="auto"/>
                                                          </w:divBdr>
                                                        </w:div>
                                                        <w:div w:id="116607459">
                                                          <w:marLeft w:val="0"/>
                                                          <w:marRight w:val="0"/>
                                                          <w:marTop w:val="0"/>
                                                          <w:marBottom w:val="0"/>
                                                          <w:divBdr>
                                                            <w:top w:val="none" w:sz="0" w:space="0" w:color="auto"/>
                                                            <w:left w:val="none" w:sz="0" w:space="0" w:color="auto"/>
                                                            <w:bottom w:val="none" w:sz="0" w:space="0" w:color="auto"/>
                                                            <w:right w:val="none" w:sz="0" w:space="0" w:color="auto"/>
                                                          </w:divBdr>
                                                        </w:div>
                                                      </w:divsChild>
                                                    </w:div>
                                                    <w:div w:id="1052775346">
                                                      <w:marLeft w:val="0"/>
                                                      <w:marRight w:val="0"/>
                                                      <w:marTop w:val="0"/>
                                                      <w:marBottom w:val="0"/>
                                                      <w:divBdr>
                                                        <w:top w:val="none" w:sz="0" w:space="0" w:color="auto"/>
                                                        <w:left w:val="none" w:sz="0" w:space="0" w:color="auto"/>
                                                        <w:bottom w:val="none" w:sz="0" w:space="0" w:color="auto"/>
                                                        <w:right w:val="none" w:sz="0" w:space="0" w:color="auto"/>
                                                      </w:divBdr>
                                                      <w:divsChild>
                                                        <w:div w:id="723873264">
                                                          <w:marLeft w:val="0"/>
                                                          <w:marRight w:val="0"/>
                                                          <w:marTop w:val="0"/>
                                                          <w:marBottom w:val="0"/>
                                                          <w:divBdr>
                                                            <w:top w:val="none" w:sz="0" w:space="0" w:color="auto"/>
                                                            <w:left w:val="none" w:sz="0" w:space="0" w:color="auto"/>
                                                            <w:bottom w:val="none" w:sz="0" w:space="0" w:color="auto"/>
                                                            <w:right w:val="none" w:sz="0" w:space="0" w:color="auto"/>
                                                          </w:divBdr>
                                                        </w:div>
                                                        <w:div w:id="999038656">
                                                          <w:marLeft w:val="0"/>
                                                          <w:marRight w:val="0"/>
                                                          <w:marTop w:val="0"/>
                                                          <w:marBottom w:val="0"/>
                                                          <w:divBdr>
                                                            <w:top w:val="none" w:sz="0" w:space="0" w:color="auto"/>
                                                            <w:left w:val="none" w:sz="0" w:space="0" w:color="auto"/>
                                                            <w:bottom w:val="none" w:sz="0" w:space="0" w:color="auto"/>
                                                            <w:right w:val="none" w:sz="0" w:space="0" w:color="auto"/>
                                                          </w:divBdr>
                                                        </w:div>
                                                        <w:div w:id="1055814188">
                                                          <w:marLeft w:val="0"/>
                                                          <w:marRight w:val="0"/>
                                                          <w:marTop w:val="0"/>
                                                          <w:marBottom w:val="0"/>
                                                          <w:divBdr>
                                                            <w:top w:val="none" w:sz="0" w:space="0" w:color="auto"/>
                                                            <w:left w:val="none" w:sz="0" w:space="0" w:color="auto"/>
                                                            <w:bottom w:val="none" w:sz="0" w:space="0" w:color="auto"/>
                                                            <w:right w:val="none" w:sz="0" w:space="0" w:color="auto"/>
                                                          </w:divBdr>
                                                        </w:div>
                                                      </w:divsChild>
                                                    </w:div>
                                                    <w:div w:id="1182741121">
                                                      <w:marLeft w:val="0"/>
                                                      <w:marRight w:val="0"/>
                                                      <w:marTop w:val="0"/>
                                                      <w:marBottom w:val="0"/>
                                                      <w:divBdr>
                                                        <w:top w:val="none" w:sz="0" w:space="0" w:color="auto"/>
                                                        <w:left w:val="none" w:sz="0" w:space="0" w:color="auto"/>
                                                        <w:bottom w:val="none" w:sz="0" w:space="0" w:color="auto"/>
                                                        <w:right w:val="none" w:sz="0" w:space="0" w:color="auto"/>
                                                      </w:divBdr>
                                                      <w:divsChild>
                                                        <w:div w:id="399212471">
                                                          <w:marLeft w:val="0"/>
                                                          <w:marRight w:val="0"/>
                                                          <w:marTop w:val="0"/>
                                                          <w:marBottom w:val="0"/>
                                                          <w:divBdr>
                                                            <w:top w:val="none" w:sz="0" w:space="0" w:color="auto"/>
                                                            <w:left w:val="none" w:sz="0" w:space="0" w:color="auto"/>
                                                            <w:bottom w:val="none" w:sz="0" w:space="0" w:color="auto"/>
                                                            <w:right w:val="none" w:sz="0" w:space="0" w:color="auto"/>
                                                          </w:divBdr>
                                                        </w:div>
                                                        <w:div w:id="734356092">
                                                          <w:marLeft w:val="0"/>
                                                          <w:marRight w:val="0"/>
                                                          <w:marTop w:val="0"/>
                                                          <w:marBottom w:val="0"/>
                                                          <w:divBdr>
                                                            <w:top w:val="none" w:sz="0" w:space="0" w:color="auto"/>
                                                            <w:left w:val="none" w:sz="0" w:space="0" w:color="auto"/>
                                                            <w:bottom w:val="none" w:sz="0" w:space="0" w:color="auto"/>
                                                            <w:right w:val="none" w:sz="0" w:space="0" w:color="auto"/>
                                                          </w:divBdr>
                                                        </w:div>
                                                        <w:div w:id="1422413141">
                                                          <w:marLeft w:val="0"/>
                                                          <w:marRight w:val="0"/>
                                                          <w:marTop w:val="0"/>
                                                          <w:marBottom w:val="0"/>
                                                          <w:divBdr>
                                                            <w:top w:val="none" w:sz="0" w:space="0" w:color="auto"/>
                                                            <w:left w:val="none" w:sz="0" w:space="0" w:color="auto"/>
                                                            <w:bottom w:val="none" w:sz="0" w:space="0" w:color="auto"/>
                                                            <w:right w:val="none" w:sz="0" w:space="0" w:color="auto"/>
                                                          </w:divBdr>
                                                        </w:div>
                                                      </w:divsChild>
                                                    </w:div>
                                                    <w:div w:id="1145393733">
                                                      <w:marLeft w:val="0"/>
                                                      <w:marRight w:val="0"/>
                                                      <w:marTop w:val="0"/>
                                                      <w:marBottom w:val="0"/>
                                                      <w:divBdr>
                                                        <w:top w:val="none" w:sz="0" w:space="0" w:color="auto"/>
                                                        <w:left w:val="none" w:sz="0" w:space="0" w:color="auto"/>
                                                        <w:bottom w:val="none" w:sz="0" w:space="0" w:color="auto"/>
                                                        <w:right w:val="none" w:sz="0" w:space="0" w:color="auto"/>
                                                      </w:divBdr>
                                                      <w:divsChild>
                                                        <w:div w:id="513568919">
                                                          <w:marLeft w:val="0"/>
                                                          <w:marRight w:val="0"/>
                                                          <w:marTop w:val="0"/>
                                                          <w:marBottom w:val="0"/>
                                                          <w:divBdr>
                                                            <w:top w:val="none" w:sz="0" w:space="0" w:color="auto"/>
                                                            <w:left w:val="none" w:sz="0" w:space="0" w:color="auto"/>
                                                            <w:bottom w:val="none" w:sz="0" w:space="0" w:color="auto"/>
                                                            <w:right w:val="none" w:sz="0" w:space="0" w:color="auto"/>
                                                          </w:divBdr>
                                                        </w:div>
                                                        <w:div w:id="1760520187">
                                                          <w:marLeft w:val="0"/>
                                                          <w:marRight w:val="0"/>
                                                          <w:marTop w:val="0"/>
                                                          <w:marBottom w:val="0"/>
                                                          <w:divBdr>
                                                            <w:top w:val="none" w:sz="0" w:space="0" w:color="auto"/>
                                                            <w:left w:val="none" w:sz="0" w:space="0" w:color="auto"/>
                                                            <w:bottom w:val="none" w:sz="0" w:space="0" w:color="auto"/>
                                                            <w:right w:val="none" w:sz="0" w:space="0" w:color="auto"/>
                                                          </w:divBdr>
                                                        </w:div>
                                                        <w:div w:id="672223129">
                                                          <w:marLeft w:val="0"/>
                                                          <w:marRight w:val="0"/>
                                                          <w:marTop w:val="0"/>
                                                          <w:marBottom w:val="0"/>
                                                          <w:divBdr>
                                                            <w:top w:val="none" w:sz="0" w:space="0" w:color="auto"/>
                                                            <w:left w:val="none" w:sz="0" w:space="0" w:color="auto"/>
                                                            <w:bottom w:val="none" w:sz="0" w:space="0" w:color="auto"/>
                                                            <w:right w:val="none" w:sz="0" w:space="0" w:color="auto"/>
                                                          </w:divBdr>
                                                        </w:div>
                                                      </w:divsChild>
                                                    </w:div>
                                                    <w:div w:id="1822650724">
                                                      <w:marLeft w:val="0"/>
                                                      <w:marRight w:val="0"/>
                                                      <w:marTop w:val="0"/>
                                                      <w:marBottom w:val="0"/>
                                                      <w:divBdr>
                                                        <w:top w:val="none" w:sz="0" w:space="0" w:color="auto"/>
                                                        <w:left w:val="none" w:sz="0" w:space="0" w:color="auto"/>
                                                        <w:bottom w:val="none" w:sz="0" w:space="0" w:color="auto"/>
                                                        <w:right w:val="none" w:sz="0" w:space="0" w:color="auto"/>
                                                      </w:divBdr>
                                                      <w:divsChild>
                                                        <w:div w:id="1218203367">
                                                          <w:marLeft w:val="0"/>
                                                          <w:marRight w:val="0"/>
                                                          <w:marTop w:val="0"/>
                                                          <w:marBottom w:val="0"/>
                                                          <w:divBdr>
                                                            <w:top w:val="none" w:sz="0" w:space="0" w:color="auto"/>
                                                            <w:left w:val="none" w:sz="0" w:space="0" w:color="auto"/>
                                                            <w:bottom w:val="none" w:sz="0" w:space="0" w:color="auto"/>
                                                            <w:right w:val="none" w:sz="0" w:space="0" w:color="auto"/>
                                                          </w:divBdr>
                                                        </w:div>
                                                        <w:div w:id="6128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7246451">
      <w:bodyDiv w:val="1"/>
      <w:marLeft w:val="0"/>
      <w:marRight w:val="0"/>
      <w:marTop w:val="0"/>
      <w:marBottom w:val="0"/>
      <w:divBdr>
        <w:top w:val="none" w:sz="0" w:space="0" w:color="auto"/>
        <w:left w:val="none" w:sz="0" w:space="0" w:color="auto"/>
        <w:bottom w:val="none" w:sz="0" w:space="0" w:color="auto"/>
        <w:right w:val="none" w:sz="0" w:space="0" w:color="auto"/>
      </w:divBdr>
      <w:divsChild>
        <w:div w:id="819426075">
          <w:marLeft w:val="0"/>
          <w:marRight w:val="0"/>
          <w:marTop w:val="0"/>
          <w:marBottom w:val="0"/>
          <w:divBdr>
            <w:top w:val="none" w:sz="0" w:space="0" w:color="auto"/>
            <w:left w:val="none" w:sz="0" w:space="0" w:color="auto"/>
            <w:bottom w:val="none" w:sz="0" w:space="0" w:color="auto"/>
            <w:right w:val="none" w:sz="0" w:space="0" w:color="auto"/>
          </w:divBdr>
          <w:divsChild>
            <w:div w:id="1218931520">
              <w:marLeft w:val="0"/>
              <w:marRight w:val="0"/>
              <w:marTop w:val="0"/>
              <w:marBottom w:val="0"/>
              <w:divBdr>
                <w:top w:val="none" w:sz="0" w:space="0" w:color="auto"/>
                <w:left w:val="none" w:sz="0" w:space="0" w:color="auto"/>
                <w:bottom w:val="none" w:sz="0" w:space="0" w:color="auto"/>
                <w:right w:val="none" w:sz="0" w:space="0" w:color="auto"/>
              </w:divBdr>
              <w:divsChild>
                <w:div w:id="1318539165">
                  <w:marLeft w:val="0"/>
                  <w:marRight w:val="0"/>
                  <w:marTop w:val="0"/>
                  <w:marBottom w:val="0"/>
                  <w:divBdr>
                    <w:top w:val="none" w:sz="0" w:space="0" w:color="auto"/>
                    <w:left w:val="none" w:sz="0" w:space="0" w:color="auto"/>
                    <w:bottom w:val="none" w:sz="0" w:space="0" w:color="auto"/>
                    <w:right w:val="none" w:sz="0" w:space="0" w:color="auto"/>
                  </w:divBdr>
                  <w:divsChild>
                    <w:div w:id="1710102338">
                      <w:marLeft w:val="0"/>
                      <w:marRight w:val="0"/>
                      <w:marTop w:val="225"/>
                      <w:marBottom w:val="0"/>
                      <w:divBdr>
                        <w:top w:val="none" w:sz="0" w:space="0" w:color="auto"/>
                        <w:left w:val="none" w:sz="0" w:space="0" w:color="auto"/>
                        <w:bottom w:val="none" w:sz="0" w:space="0" w:color="auto"/>
                        <w:right w:val="none" w:sz="0" w:space="0" w:color="auto"/>
                      </w:divBdr>
                      <w:divsChild>
                        <w:div w:id="1038235776">
                          <w:marLeft w:val="0"/>
                          <w:marRight w:val="0"/>
                          <w:marTop w:val="0"/>
                          <w:marBottom w:val="0"/>
                          <w:divBdr>
                            <w:top w:val="none" w:sz="0" w:space="0" w:color="auto"/>
                            <w:left w:val="none" w:sz="0" w:space="0" w:color="auto"/>
                            <w:bottom w:val="none" w:sz="0" w:space="0" w:color="auto"/>
                            <w:right w:val="none" w:sz="0" w:space="0" w:color="auto"/>
                          </w:divBdr>
                          <w:divsChild>
                            <w:div w:id="1862283082">
                              <w:marLeft w:val="0"/>
                              <w:marRight w:val="0"/>
                              <w:marTop w:val="0"/>
                              <w:marBottom w:val="0"/>
                              <w:divBdr>
                                <w:top w:val="none" w:sz="0" w:space="0" w:color="auto"/>
                                <w:left w:val="none" w:sz="0" w:space="0" w:color="auto"/>
                                <w:bottom w:val="none" w:sz="0" w:space="0" w:color="auto"/>
                                <w:right w:val="none" w:sz="0" w:space="0" w:color="auto"/>
                              </w:divBdr>
                              <w:divsChild>
                                <w:div w:id="1324427199">
                                  <w:marLeft w:val="0"/>
                                  <w:marRight w:val="0"/>
                                  <w:marTop w:val="0"/>
                                  <w:marBottom w:val="0"/>
                                  <w:divBdr>
                                    <w:top w:val="none" w:sz="0" w:space="0" w:color="auto"/>
                                    <w:left w:val="none" w:sz="0" w:space="0" w:color="auto"/>
                                    <w:bottom w:val="none" w:sz="0" w:space="0" w:color="auto"/>
                                    <w:right w:val="none" w:sz="0" w:space="0" w:color="auto"/>
                                  </w:divBdr>
                                  <w:divsChild>
                                    <w:div w:id="429198374">
                                      <w:marLeft w:val="0"/>
                                      <w:marRight w:val="0"/>
                                      <w:marTop w:val="0"/>
                                      <w:marBottom w:val="0"/>
                                      <w:divBdr>
                                        <w:top w:val="none" w:sz="0" w:space="0" w:color="auto"/>
                                        <w:left w:val="none" w:sz="0" w:space="0" w:color="auto"/>
                                        <w:bottom w:val="none" w:sz="0" w:space="0" w:color="auto"/>
                                        <w:right w:val="none" w:sz="0" w:space="0" w:color="auto"/>
                                      </w:divBdr>
                                      <w:divsChild>
                                        <w:div w:id="675425420">
                                          <w:marLeft w:val="0"/>
                                          <w:marRight w:val="0"/>
                                          <w:marTop w:val="0"/>
                                          <w:marBottom w:val="0"/>
                                          <w:divBdr>
                                            <w:top w:val="none" w:sz="0" w:space="0" w:color="auto"/>
                                            <w:left w:val="none" w:sz="0" w:space="0" w:color="auto"/>
                                            <w:bottom w:val="none" w:sz="0" w:space="0" w:color="auto"/>
                                            <w:right w:val="none" w:sz="0" w:space="0" w:color="auto"/>
                                          </w:divBdr>
                                          <w:divsChild>
                                            <w:div w:id="1632438876">
                                              <w:marLeft w:val="0"/>
                                              <w:marRight w:val="0"/>
                                              <w:marTop w:val="120"/>
                                              <w:marBottom w:val="0"/>
                                              <w:divBdr>
                                                <w:top w:val="none" w:sz="0" w:space="0" w:color="auto"/>
                                                <w:left w:val="none" w:sz="0" w:space="0" w:color="auto"/>
                                                <w:bottom w:val="none" w:sz="0" w:space="0" w:color="auto"/>
                                                <w:right w:val="none" w:sz="0" w:space="0" w:color="auto"/>
                                              </w:divBdr>
                                              <w:divsChild>
                                                <w:div w:id="404189064">
                                                  <w:marLeft w:val="0"/>
                                                  <w:marRight w:val="0"/>
                                                  <w:marTop w:val="0"/>
                                                  <w:marBottom w:val="0"/>
                                                  <w:divBdr>
                                                    <w:top w:val="none" w:sz="0" w:space="0" w:color="auto"/>
                                                    <w:left w:val="none" w:sz="0" w:space="0" w:color="auto"/>
                                                    <w:bottom w:val="none" w:sz="0" w:space="0" w:color="auto"/>
                                                    <w:right w:val="none" w:sz="0" w:space="0" w:color="auto"/>
                                                  </w:divBdr>
                                                </w:div>
                                              </w:divsChild>
                                            </w:div>
                                            <w:div w:id="7759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remy.klausz@ge.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gif"/><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80391-8B66-4E61-82CC-6F038C082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1900</Words>
  <Characters>10451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Klausz, Remy (GE Healthcare)</dc:creator>
  <cp:keywords/>
  <dc:description/>
  <cp:lastModifiedBy>Klausz, Remy (GE Healthcare)</cp:lastModifiedBy>
  <cp:revision>3</cp:revision>
  <dcterms:created xsi:type="dcterms:W3CDTF">2018-01-05T20:56:00Z</dcterms:created>
  <dcterms:modified xsi:type="dcterms:W3CDTF">2018-01-05T20:59:00Z</dcterms:modified>
</cp:coreProperties>
</file>